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A3C1B7" w14:textId="5A63D9F8" w:rsidR="00221C1F" w:rsidRPr="0052548E" w:rsidRDefault="00221C1F" w:rsidP="00221C1F">
      <w:pPr>
        <w:tabs>
          <w:tab w:val="center" w:pos="4536"/>
          <w:tab w:val="right" w:pos="8280"/>
          <w:tab w:val="right" w:pos="9639"/>
        </w:tabs>
        <w:ind w:right="2"/>
        <w:rPr>
          <w:rFonts w:ascii="Arial" w:hAnsi="Arial" w:cs="Arial"/>
          <w:b/>
          <w:bCs/>
          <w:sz w:val="28"/>
        </w:rPr>
      </w:pPr>
      <w:bookmarkStart w:id="0" w:name="_Ref462675860"/>
      <w:bookmarkStart w:id="1" w:name="_Ref465963108"/>
      <w:r w:rsidRPr="009610D7">
        <w:rPr>
          <w:rFonts w:ascii="Arial" w:hAnsi="Arial" w:cs="Arial"/>
          <w:b/>
          <w:bCs/>
          <w:sz w:val="28"/>
        </w:rPr>
        <w:t>3GPP TSG RAN WG1 #10</w:t>
      </w:r>
      <w:r>
        <w:rPr>
          <w:rFonts w:ascii="Arial" w:hAnsi="Arial" w:cs="Arial"/>
          <w:b/>
          <w:bCs/>
          <w:sz w:val="28"/>
        </w:rPr>
        <w:t>6</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C01B49">
        <w:rPr>
          <w:rFonts w:ascii="Arial" w:hAnsi="Arial" w:cs="Arial"/>
          <w:b/>
          <w:bCs/>
          <w:sz w:val="28"/>
        </w:rPr>
        <w:t>R1-210</w:t>
      </w:r>
      <w:r w:rsidR="00C01B49" w:rsidRPr="00C01B49">
        <w:rPr>
          <w:rFonts w:ascii="Arial" w:hAnsi="Arial" w:cs="Arial"/>
          <w:b/>
          <w:bCs/>
          <w:sz w:val="28"/>
        </w:rPr>
        <w:t>7344</w:t>
      </w:r>
    </w:p>
    <w:p w14:paraId="594B6B1C" w14:textId="77777777" w:rsidR="00221C1F" w:rsidRPr="009513AC" w:rsidRDefault="00221C1F" w:rsidP="00221C1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1DB5F75" w14:textId="77777777" w:rsidR="00BD6646" w:rsidRPr="009513AC" w:rsidRDefault="00BD6646" w:rsidP="00BD6646">
      <w:pPr>
        <w:tabs>
          <w:tab w:val="center" w:pos="4536"/>
          <w:tab w:val="right" w:pos="9072"/>
        </w:tabs>
        <w:rPr>
          <w:rFonts w:ascii="Arial" w:eastAsia="MS Mincho" w:hAnsi="Arial" w:cs="Arial"/>
          <w:b/>
          <w:bCs/>
          <w:sz w:val="28"/>
          <w:lang w:eastAsia="ja-JP"/>
        </w:rPr>
      </w:pPr>
    </w:p>
    <w:p w14:paraId="77E9D083" w14:textId="77777777" w:rsidR="00BD6646" w:rsidRPr="000A64D8" w:rsidRDefault="00BD6646" w:rsidP="00BD6646">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8.4.4</w:t>
      </w:r>
    </w:p>
    <w:p w14:paraId="5FF11697" w14:textId="77777777" w:rsidR="00BD6646" w:rsidRPr="000A64D8" w:rsidRDefault="00BD6646" w:rsidP="00BD6646">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EFC995D" w14:textId="77777777" w:rsidR="00BD6646" w:rsidRPr="00D413A4" w:rsidRDefault="00BD6646" w:rsidP="00BD6646">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Pr="00AA1CE4">
        <w:rPr>
          <w:rFonts w:ascii="Arial" w:hAnsi="Arial"/>
          <w:sz w:val="24"/>
          <w:szCs w:val="24"/>
        </w:rPr>
        <w:t>BWP operation and other issues for NTN</w:t>
      </w:r>
      <w:r w:rsidRPr="00AA1CE4" w:rsidDel="001D66F2">
        <w:rPr>
          <w:rFonts w:ascii="Arial" w:hAnsi="Arial"/>
          <w:sz w:val="24"/>
          <w:szCs w:val="24"/>
        </w:rPr>
        <w:t xml:space="preserve"> </w:t>
      </w:r>
    </w:p>
    <w:p w14:paraId="70674C11" w14:textId="7B945DF2" w:rsidR="00A71604" w:rsidRDefault="00BD6646" w:rsidP="00BD6646">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45DE1173" w14:textId="77777777" w:rsidR="00A71604" w:rsidRDefault="00A71604" w:rsidP="00A71604">
      <w:pPr>
        <w:pStyle w:val="Heading1"/>
        <w:jc w:val="both"/>
      </w:pPr>
      <w:r w:rsidRPr="00183CB7">
        <w:t>Introduction</w:t>
      </w:r>
      <w:bookmarkEnd w:id="0"/>
      <w:bookmarkEnd w:id="1"/>
    </w:p>
    <w:p w14:paraId="73504A8E" w14:textId="6F325DFA" w:rsidR="00A71604" w:rsidRPr="00E90BDB" w:rsidRDefault="00A71604" w:rsidP="00A71604">
      <w:pPr>
        <w:pStyle w:val="Heading1"/>
        <w:numPr>
          <w:ilvl w:val="0"/>
          <w:numId w:val="0"/>
        </w:numPr>
        <w:rPr>
          <w:rFonts w:ascii="Times New Roman" w:eastAsia="Batang" w:hAnsi="Times New Roman"/>
          <w:b/>
          <w:sz w:val="20"/>
          <w:lang w:eastAsia="zh-CN"/>
        </w:rPr>
      </w:pPr>
      <w:r w:rsidRPr="00E90BDB">
        <w:rPr>
          <w:rFonts w:ascii="Times New Roman" w:hAnsi="Times New Roman"/>
          <w:sz w:val="20"/>
        </w:rPr>
        <w:t>In RAN1#10</w:t>
      </w:r>
      <w:r w:rsidR="00043ED2">
        <w:rPr>
          <w:rFonts w:ascii="Times New Roman" w:hAnsi="Times New Roman"/>
          <w:sz w:val="20"/>
        </w:rPr>
        <w:t>4</w:t>
      </w:r>
      <w:r w:rsidRPr="00E90BDB">
        <w:rPr>
          <w:rFonts w:ascii="Times New Roman" w:hAnsi="Times New Roman"/>
          <w:sz w:val="20"/>
        </w:rPr>
        <w:t>e</w:t>
      </w:r>
      <w:r w:rsidR="00E7610E">
        <w:rPr>
          <w:rFonts w:ascii="Times New Roman" w:hAnsi="Times New Roman"/>
          <w:sz w:val="20"/>
        </w:rPr>
        <w:t xml:space="preserve"> and #10</w:t>
      </w:r>
      <w:r w:rsidR="00043ED2">
        <w:rPr>
          <w:rFonts w:ascii="Times New Roman" w:hAnsi="Times New Roman"/>
          <w:sz w:val="20"/>
        </w:rPr>
        <w:t>5</w:t>
      </w:r>
      <w:r w:rsidR="00E7610E">
        <w:rPr>
          <w:rFonts w:ascii="Times New Roman" w:hAnsi="Times New Roman"/>
          <w:sz w:val="20"/>
        </w:rPr>
        <w:t>e</w:t>
      </w:r>
      <w:r w:rsidRPr="00E90BDB">
        <w:rPr>
          <w:rFonts w:ascii="Times New Roman" w:hAnsi="Times New Roman"/>
          <w:sz w:val="20"/>
        </w:rPr>
        <w:t xml:space="preserve">, the following agreements on </w:t>
      </w:r>
      <w:r w:rsidR="00157535">
        <w:rPr>
          <w:rFonts w:ascii="Times New Roman" w:hAnsi="Times New Roman"/>
          <w:sz w:val="20"/>
        </w:rPr>
        <w:t>s</w:t>
      </w:r>
      <w:r w:rsidR="000A260E">
        <w:rPr>
          <w:rFonts w:ascii="Times New Roman" w:hAnsi="Times New Roman"/>
          <w:sz w:val="20"/>
        </w:rPr>
        <w:t>atellite beam arrangements and polarization</w:t>
      </w:r>
      <w:r w:rsidRPr="00E90BDB">
        <w:rPr>
          <w:rFonts w:ascii="Times New Roman" w:hAnsi="Times New Roman"/>
          <w:sz w:val="20"/>
        </w:rPr>
        <w:t xml:space="preserve"> were made</w:t>
      </w:r>
      <w:r w:rsidRPr="00E90BDB">
        <w:rPr>
          <w:rFonts w:ascii="Times New Roman" w:eastAsia="Batang" w:hAnsi="Times New Roman"/>
          <w:bCs/>
          <w:sz w:val="20"/>
          <w:lang w:eastAsia="zh-CN"/>
        </w:rPr>
        <w:t xml:space="preserve"> [1]</w:t>
      </w:r>
      <w:r w:rsidR="00F114E6">
        <w:rPr>
          <w:rFonts w:ascii="Times New Roman" w:eastAsia="Batang" w:hAnsi="Times New Roman"/>
          <w:bCs/>
          <w:sz w:val="20"/>
          <w:lang w:eastAsia="zh-CN"/>
        </w:rPr>
        <w:t>[2]</w:t>
      </w:r>
      <w:r w:rsidRPr="00E90BDB">
        <w:rPr>
          <w:rFonts w:ascii="Times New Roman" w:eastAsia="Batang" w:hAnsi="Times New Roman"/>
          <w:bCs/>
          <w:sz w:val="20"/>
          <w:lang w:eastAsia="zh-CN"/>
        </w:rPr>
        <w:t>:</w:t>
      </w:r>
    </w:p>
    <w:p w14:paraId="6BC0BC77" w14:textId="77777777" w:rsidR="00D055FE" w:rsidRPr="00CA382A" w:rsidRDefault="00D055FE" w:rsidP="00C22AB0">
      <w:pPr>
        <w:ind w:left="720" w:hanging="270"/>
        <w:rPr>
          <w:rFonts w:eastAsia="Malgun Gothic"/>
          <w:b/>
          <w:i/>
          <w:iCs/>
          <w:color w:val="000000"/>
          <w:u w:val="single"/>
          <w:lang w:eastAsia="ko-KR"/>
        </w:rPr>
      </w:pPr>
      <w:r w:rsidRPr="00CA382A">
        <w:rPr>
          <w:rFonts w:eastAsia="Malgun Gothic"/>
          <w:b/>
          <w:i/>
          <w:iCs/>
          <w:color w:val="000000"/>
          <w:u w:val="single"/>
          <w:lang w:eastAsia="ko-KR"/>
        </w:rPr>
        <w:t>Agreement:</w:t>
      </w:r>
    </w:p>
    <w:p w14:paraId="5C0B18AA" w14:textId="77777777" w:rsidR="00D055FE" w:rsidRPr="00CA382A" w:rsidRDefault="00D055FE" w:rsidP="00C22AB0">
      <w:pPr>
        <w:ind w:left="720" w:hanging="270"/>
        <w:rPr>
          <w:i/>
          <w:iCs/>
          <w:color w:val="000000"/>
        </w:rPr>
      </w:pPr>
      <w:r w:rsidRPr="00CA382A">
        <w:rPr>
          <w:rFonts w:eastAsia="Malgun Gothic"/>
          <w:bCs/>
          <w:i/>
          <w:iCs/>
          <w:color w:val="000000"/>
          <w:lang w:eastAsia="ko-KR"/>
        </w:rPr>
        <w:t xml:space="preserve">Support </w:t>
      </w:r>
      <w:r w:rsidRPr="00CA382A">
        <w:rPr>
          <w:rFonts w:eastAsia="Malgun Gothic"/>
          <w:i/>
          <w:iCs/>
          <w:color w:val="000000"/>
          <w:lang w:eastAsia="ko-KR"/>
        </w:rPr>
        <w:t>at least</w:t>
      </w:r>
      <w:r w:rsidRPr="00CA382A">
        <w:rPr>
          <w:rFonts w:eastAsia="Malgun Gothic"/>
          <w:bCs/>
          <w:i/>
          <w:iCs/>
          <w:color w:val="000000"/>
          <w:lang w:eastAsia="ko-KR"/>
        </w:rPr>
        <w:t xml:space="preserve"> explicit indication of polarization information for DL by the network</w:t>
      </w:r>
    </w:p>
    <w:p w14:paraId="30BE2047" w14:textId="77777777" w:rsidR="00D055FE" w:rsidRPr="00CA382A" w:rsidRDefault="00D055FE" w:rsidP="00C22AB0">
      <w:pPr>
        <w:numPr>
          <w:ilvl w:val="0"/>
          <w:numId w:val="13"/>
        </w:numPr>
        <w:overflowPunct/>
        <w:autoSpaceDE/>
        <w:autoSpaceDN/>
        <w:adjustRightInd/>
        <w:spacing w:after="0"/>
        <w:ind w:left="1440" w:hanging="270"/>
        <w:textAlignment w:val="auto"/>
        <w:rPr>
          <w:i/>
          <w:iCs/>
        </w:rPr>
      </w:pPr>
      <w:r w:rsidRPr="00CA382A">
        <w:rPr>
          <w:rFonts w:eastAsia="Malgun Gothic"/>
          <w:bCs/>
          <w:i/>
          <w:iCs/>
          <w:color w:val="000000"/>
          <w:lang w:eastAsia="ko-KR"/>
        </w:rPr>
        <w:t>FFS: whether the indication is done by SIB, other RRC signaling, DCI</w:t>
      </w:r>
      <w:r w:rsidRPr="00CA382A">
        <w:rPr>
          <w:rFonts w:eastAsia="Malgun Gothic"/>
          <w:bCs/>
          <w:i/>
          <w:iCs/>
          <w:lang w:eastAsia="ko-KR"/>
        </w:rPr>
        <w:t>.</w:t>
      </w:r>
    </w:p>
    <w:p w14:paraId="08E91A90" w14:textId="77777777" w:rsidR="00D055FE" w:rsidRPr="00CA382A" w:rsidRDefault="00D055FE" w:rsidP="00C22AB0">
      <w:pPr>
        <w:numPr>
          <w:ilvl w:val="0"/>
          <w:numId w:val="13"/>
        </w:numPr>
        <w:overflowPunct/>
        <w:autoSpaceDE/>
        <w:autoSpaceDN/>
        <w:adjustRightInd/>
        <w:spacing w:after="0"/>
        <w:ind w:left="1440" w:hanging="270"/>
        <w:textAlignment w:val="auto"/>
        <w:rPr>
          <w:i/>
          <w:iCs/>
          <w:color w:val="000000"/>
        </w:rPr>
      </w:pPr>
      <w:r w:rsidRPr="00CA382A">
        <w:rPr>
          <w:rFonts w:eastAsia="Malgun Gothic"/>
          <w:bCs/>
          <w:i/>
          <w:iCs/>
          <w:color w:val="000000"/>
          <w:lang w:eastAsia="ko-KR"/>
        </w:rPr>
        <w:t>FFS: Whether separate signaling is needed for the UL</w:t>
      </w:r>
      <w:r w:rsidRPr="00CA382A">
        <w:rPr>
          <w:i/>
          <w:iCs/>
          <w:color w:val="000000"/>
        </w:rPr>
        <w:t xml:space="preserve"> and if so, </w:t>
      </w:r>
      <w:proofErr w:type="gramStart"/>
      <w:r w:rsidRPr="00CA382A">
        <w:rPr>
          <w:rFonts w:eastAsia="Malgun Gothic"/>
          <w:bCs/>
          <w:i/>
          <w:iCs/>
          <w:color w:val="000000"/>
          <w:lang w:eastAsia="ko-KR"/>
        </w:rPr>
        <w:t>whether or not</w:t>
      </w:r>
      <w:proofErr w:type="gramEnd"/>
      <w:r w:rsidRPr="00CA382A">
        <w:rPr>
          <w:rFonts w:eastAsia="Malgun Gothic"/>
          <w:bCs/>
          <w:i/>
          <w:iCs/>
          <w:color w:val="000000"/>
          <w:lang w:eastAsia="ko-KR"/>
        </w:rPr>
        <w:t xml:space="preserve"> a same polarization is indicated for DL and UL</w:t>
      </w:r>
    </w:p>
    <w:p w14:paraId="71ACC6D3" w14:textId="77777777" w:rsidR="00D055FE" w:rsidRPr="00CA382A" w:rsidRDefault="00D055FE" w:rsidP="00C22AB0">
      <w:pPr>
        <w:ind w:left="720" w:hanging="270"/>
        <w:rPr>
          <w:i/>
          <w:iCs/>
          <w:lang w:eastAsia="x-none"/>
        </w:rPr>
      </w:pPr>
    </w:p>
    <w:p w14:paraId="0C54758E" w14:textId="77777777" w:rsidR="00D055FE" w:rsidRPr="00CA382A" w:rsidRDefault="00D055FE" w:rsidP="00C22AB0">
      <w:pPr>
        <w:shd w:val="clear" w:color="auto" w:fill="FFFFFF"/>
        <w:ind w:left="720" w:hanging="270"/>
        <w:rPr>
          <w:b/>
          <w:bCs/>
          <w:i/>
          <w:iCs/>
          <w:color w:val="000000"/>
          <w:u w:val="single"/>
          <w:lang w:eastAsia="zh-CN"/>
        </w:rPr>
      </w:pPr>
      <w:r w:rsidRPr="00CA382A">
        <w:rPr>
          <w:b/>
          <w:bCs/>
          <w:i/>
          <w:iCs/>
          <w:color w:val="000000"/>
          <w:u w:val="single"/>
          <w:lang w:eastAsia="zh-CN"/>
        </w:rPr>
        <w:t>Conclusion:</w:t>
      </w:r>
    </w:p>
    <w:p w14:paraId="1F2E8774" w14:textId="77777777" w:rsidR="00D055FE" w:rsidRPr="00CA382A" w:rsidRDefault="00D055FE" w:rsidP="00C22AB0">
      <w:pPr>
        <w:shd w:val="clear" w:color="auto" w:fill="FFFFFF"/>
        <w:ind w:left="720" w:hanging="270"/>
        <w:rPr>
          <w:i/>
          <w:iCs/>
          <w:color w:val="000000"/>
          <w:lang w:eastAsia="zh-CN"/>
        </w:rPr>
      </w:pPr>
      <w:r w:rsidRPr="00CA382A">
        <w:rPr>
          <w:i/>
          <w:iCs/>
          <w:color w:val="000000"/>
          <w:lang w:eastAsia="zh-CN"/>
        </w:rPr>
        <w:t>Discuss </w:t>
      </w:r>
      <w:proofErr w:type="gramStart"/>
      <w:r w:rsidRPr="00CA382A">
        <w:rPr>
          <w:i/>
          <w:iCs/>
          <w:color w:val="000000"/>
          <w:lang w:eastAsia="zh-CN"/>
        </w:rPr>
        <w:t>whether or not</w:t>
      </w:r>
      <w:proofErr w:type="gramEnd"/>
      <w:r w:rsidRPr="00CA382A">
        <w:rPr>
          <w:i/>
          <w:iCs/>
          <w:color w:val="FF0000"/>
          <w:lang w:eastAsia="zh-CN"/>
        </w:rPr>
        <w:t xml:space="preserve"> </w:t>
      </w:r>
      <w:r w:rsidRPr="00CA382A">
        <w:rPr>
          <w:i/>
          <w:iCs/>
          <w:lang w:eastAsia="zh-CN"/>
        </w:rPr>
        <w:t>at least</w:t>
      </w:r>
      <w:r w:rsidRPr="00CA382A">
        <w:rPr>
          <w:i/>
          <w:iCs/>
          <w:color w:val="FF0000"/>
          <w:lang w:eastAsia="zh-CN"/>
        </w:rPr>
        <w:t> </w:t>
      </w:r>
      <w:r w:rsidRPr="00CA382A">
        <w:rPr>
          <w:i/>
          <w:iCs/>
          <w:color w:val="000000"/>
          <w:lang w:eastAsia="zh-CN"/>
        </w:rPr>
        <w:t>following issues are valid and decide whether or not enhancements are needed in addition to current NR specification for supporting NTN beam management:</w:t>
      </w:r>
    </w:p>
    <w:p w14:paraId="570F2FD3"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Issue 1: NR BWP is not directly associated with a beam. Thus, when using TCI to change beam from beam 1 to beam 2, it does not trigger NR BWP switching. However, in NTN FRF&gt;1 case, beam switching may result in a BWP switching.</w:t>
      </w:r>
    </w:p>
    <w:p w14:paraId="7CAAA4D0"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Issue 2: NR BWP switching in UL and DL are not jointly triggered for FDD. However, in NTN FRF&gt;1 FDD scenario, beam switching may result in a BWP switching in both DL and UL.</w:t>
      </w:r>
    </w:p>
    <w:p w14:paraId="3981C6BC"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Issue 3: NR dynamic BWP switching requires data scheduling. While in NTN FRF&gt;1 scenario, we may need a fast BWP switching triggering without data scheduling.</w:t>
      </w:r>
    </w:p>
    <w:p w14:paraId="42B1E7D9"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Issue 4: NR BWP switching does not require re-synchronization. However, in NTN FRF&gt;1 scenario, when a satellite beam switching is triggered, UE may need to perform re-synchronization in the switched BWP. </w:t>
      </w:r>
    </w:p>
    <w:p w14:paraId="3E184999"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Issue 5: Since satellite beam switching can be frequent and often highly predictable, mechanisms of configured BWP switching (can be a sequence of BWPs) may be preferred but current NR does not allow it.</w:t>
      </w:r>
    </w:p>
    <w:p w14:paraId="44CC3D49"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Issue 6: How to deal with BWP switching triggered by </w:t>
      </w:r>
      <w:proofErr w:type="spellStart"/>
      <w:r w:rsidRPr="004A680C">
        <w:rPr>
          <w:rFonts w:ascii="Times New Roman" w:eastAsia="SimSun" w:hAnsi="Times New Roman"/>
          <w:i/>
          <w:iCs/>
          <w:color w:val="000000"/>
          <w:sz w:val="20"/>
          <w:szCs w:val="20"/>
          <w:lang w:eastAsia="zh-CN"/>
        </w:rPr>
        <w:t>bwpInactivityTimer</w:t>
      </w:r>
      <w:proofErr w:type="spellEnd"/>
      <w:r w:rsidRPr="004A680C">
        <w:rPr>
          <w:rFonts w:ascii="Times New Roman" w:eastAsia="SimSun" w:hAnsi="Times New Roman"/>
          <w:i/>
          <w:iCs/>
          <w:color w:val="000000"/>
          <w:sz w:val="20"/>
          <w:szCs w:val="20"/>
          <w:lang w:eastAsia="zh-CN"/>
        </w:rPr>
        <w:t>, RA procedure, or simply a need to increase throughput instead of for beam-level mobility.</w:t>
      </w:r>
    </w:p>
    <w:p w14:paraId="6A57F707" w14:textId="77777777" w:rsidR="00D055FE" w:rsidRPr="004A680C" w:rsidRDefault="00D055FE" w:rsidP="00C22AB0">
      <w:pPr>
        <w:pStyle w:val="ListParagraph"/>
        <w:numPr>
          <w:ilvl w:val="0"/>
          <w:numId w:val="14"/>
        </w:numPr>
        <w:shd w:val="clear" w:color="auto" w:fill="FFFFFF"/>
        <w:ind w:left="1140" w:hanging="270"/>
        <w:rPr>
          <w:rFonts w:ascii="Times New Roman" w:eastAsia="SimSun" w:hAnsi="Times New Roman"/>
          <w:i/>
          <w:iCs/>
          <w:color w:val="000000"/>
          <w:sz w:val="20"/>
          <w:szCs w:val="20"/>
          <w:lang w:eastAsia="zh-CN"/>
        </w:rPr>
      </w:pPr>
      <w:r w:rsidRPr="004A680C">
        <w:rPr>
          <w:rFonts w:ascii="Times New Roman" w:eastAsia="SimSun" w:hAnsi="Times New Roman"/>
          <w:i/>
          <w:iCs/>
          <w:color w:val="000000"/>
          <w:sz w:val="20"/>
          <w:szCs w:val="20"/>
          <w:lang w:eastAsia="zh-CN"/>
        </w:rPr>
        <w:t xml:space="preserve">Issue 7: NR BWP switching/beam switching is done with UE specific </w:t>
      </w:r>
      <w:proofErr w:type="spellStart"/>
      <w:r w:rsidRPr="004A680C">
        <w:rPr>
          <w:rFonts w:ascii="Times New Roman" w:eastAsia="SimSun" w:hAnsi="Times New Roman"/>
          <w:i/>
          <w:iCs/>
          <w:color w:val="000000"/>
          <w:sz w:val="20"/>
          <w:szCs w:val="20"/>
          <w:lang w:eastAsia="zh-CN"/>
        </w:rPr>
        <w:t>signalling</w:t>
      </w:r>
      <w:proofErr w:type="spellEnd"/>
      <w:r w:rsidRPr="004A680C">
        <w:rPr>
          <w:rFonts w:ascii="Times New Roman" w:eastAsia="SimSun" w:hAnsi="Times New Roman"/>
          <w:i/>
          <w:iCs/>
          <w:color w:val="000000"/>
          <w:sz w:val="20"/>
          <w:szCs w:val="20"/>
          <w:lang w:eastAsia="zh-CN"/>
        </w:rPr>
        <w:t xml:space="preserve"> due to UE </w:t>
      </w:r>
      <w:proofErr w:type="gramStart"/>
      <w:r w:rsidRPr="004A680C">
        <w:rPr>
          <w:rFonts w:ascii="Times New Roman" w:eastAsia="SimSun" w:hAnsi="Times New Roman"/>
          <w:i/>
          <w:iCs/>
          <w:color w:val="000000"/>
          <w:sz w:val="20"/>
          <w:szCs w:val="20"/>
          <w:lang w:eastAsia="zh-CN"/>
        </w:rPr>
        <w:t>movement’s</w:t>
      </w:r>
      <w:proofErr w:type="gramEnd"/>
      <w:r w:rsidRPr="004A680C">
        <w:rPr>
          <w:rFonts w:ascii="Times New Roman" w:eastAsia="SimSun" w:hAnsi="Times New Roman"/>
          <w:i/>
          <w:iCs/>
          <w:color w:val="000000"/>
          <w:sz w:val="20"/>
          <w:szCs w:val="20"/>
          <w:lang w:eastAsia="zh-CN"/>
        </w:rPr>
        <w:t xml:space="preserve">. However, in NTN scenario, a satellite BWP/beam switching is common for set of UEs, we may need to a common BWP/beam switching mechanism to save the </w:t>
      </w:r>
      <w:proofErr w:type="spellStart"/>
      <w:r w:rsidRPr="004A680C">
        <w:rPr>
          <w:rFonts w:ascii="Times New Roman" w:eastAsia="SimSun" w:hAnsi="Times New Roman"/>
          <w:i/>
          <w:iCs/>
          <w:color w:val="000000"/>
          <w:sz w:val="20"/>
          <w:szCs w:val="20"/>
          <w:lang w:eastAsia="zh-CN"/>
        </w:rPr>
        <w:t>signalling</w:t>
      </w:r>
      <w:proofErr w:type="spellEnd"/>
      <w:r w:rsidRPr="004A680C">
        <w:rPr>
          <w:rFonts w:ascii="Times New Roman" w:eastAsia="SimSun" w:hAnsi="Times New Roman"/>
          <w:i/>
          <w:iCs/>
          <w:color w:val="000000"/>
          <w:sz w:val="20"/>
          <w:szCs w:val="20"/>
          <w:lang w:eastAsia="zh-CN"/>
        </w:rPr>
        <w:t xml:space="preserve"> overhead.</w:t>
      </w:r>
    </w:p>
    <w:p w14:paraId="4BACBBC2" w14:textId="77777777" w:rsidR="00D055FE" w:rsidRPr="00CA382A" w:rsidRDefault="00D055FE" w:rsidP="00C22AB0">
      <w:pPr>
        <w:ind w:left="720" w:hanging="270"/>
        <w:rPr>
          <w:i/>
          <w:iCs/>
          <w:lang w:eastAsia="x-none"/>
        </w:rPr>
      </w:pPr>
    </w:p>
    <w:p w14:paraId="3CABD0C0" w14:textId="77777777" w:rsidR="00D055FE" w:rsidRPr="00CA382A" w:rsidRDefault="00D055FE" w:rsidP="00C22AB0">
      <w:pPr>
        <w:shd w:val="clear" w:color="auto" w:fill="FFFFFF"/>
        <w:ind w:left="720" w:hanging="270"/>
        <w:rPr>
          <w:b/>
          <w:bCs/>
          <w:i/>
          <w:iCs/>
          <w:color w:val="000000"/>
          <w:u w:val="single"/>
          <w:lang w:eastAsia="zh-CN"/>
        </w:rPr>
      </w:pPr>
      <w:r w:rsidRPr="00CA382A">
        <w:rPr>
          <w:b/>
          <w:bCs/>
          <w:i/>
          <w:iCs/>
          <w:color w:val="000000"/>
          <w:u w:val="single"/>
          <w:lang w:eastAsia="zh-CN"/>
        </w:rPr>
        <w:t>Conclusion:</w:t>
      </w:r>
    </w:p>
    <w:p w14:paraId="26743656" w14:textId="77777777" w:rsidR="00D055FE" w:rsidRPr="00CA382A" w:rsidRDefault="00D055FE" w:rsidP="00C22AB0">
      <w:pPr>
        <w:shd w:val="clear" w:color="auto" w:fill="FFFFFF"/>
        <w:ind w:left="720" w:hanging="270"/>
        <w:rPr>
          <w:i/>
          <w:iCs/>
          <w:color w:val="000000"/>
          <w:lang w:eastAsia="zh-CN"/>
        </w:rPr>
      </w:pPr>
      <w:r w:rsidRPr="00CA382A">
        <w:rPr>
          <w:i/>
          <w:iCs/>
          <w:color w:val="000000"/>
          <w:lang w:eastAsia="zh-CN"/>
        </w:rPr>
        <w:t>Discuss the necessity of reporting UE polarization capability considering at least following aspects, </w:t>
      </w:r>
    </w:p>
    <w:p w14:paraId="535539E3" w14:textId="77777777" w:rsidR="00D055FE" w:rsidRPr="00CA382A" w:rsidRDefault="00D055FE" w:rsidP="00C22AB0">
      <w:pPr>
        <w:numPr>
          <w:ilvl w:val="0"/>
          <w:numId w:val="15"/>
        </w:numPr>
        <w:shd w:val="clear" w:color="auto" w:fill="FFFFFF"/>
        <w:overflowPunct/>
        <w:autoSpaceDE/>
        <w:autoSpaceDN/>
        <w:adjustRightInd/>
        <w:spacing w:after="0"/>
        <w:ind w:left="1440" w:hanging="270"/>
        <w:textAlignment w:val="auto"/>
        <w:rPr>
          <w:i/>
          <w:iCs/>
          <w:color w:val="000000"/>
          <w:lang w:eastAsia="zh-CN"/>
        </w:rPr>
      </w:pPr>
      <w:r w:rsidRPr="00CA382A">
        <w:rPr>
          <w:i/>
          <w:iCs/>
          <w:color w:val="000000"/>
          <w:lang w:eastAsia="zh-CN"/>
        </w:rPr>
        <w:t>Deployment scenarios.</w:t>
      </w:r>
    </w:p>
    <w:p w14:paraId="079A9F99" w14:textId="77777777" w:rsidR="00D055FE" w:rsidRPr="00CA382A" w:rsidRDefault="00D055FE" w:rsidP="00C22AB0">
      <w:pPr>
        <w:numPr>
          <w:ilvl w:val="0"/>
          <w:numId w:val="15"/>
        </w:numPr>
        <w:shd w:val="clear" w:color="auto" w:fill="FFFFFF"/>
        <w:overflowPunct/>
        <w:autoSpaceDE/>
        <w:autoSpaceDN/>
        <w:adjustRightInd/>
        <w:spacing w:after="0"/>
        <w:ind w:left="1440" w:hanging="270"/>
        <w:textAlignment w:val="auto"/>
        <w:rPr>
          <w:i/>
          <w:iCs/>
          <w:color w:val="000000"/>
          <w:lang w:eastAsia="zh-CN"/>
        </w:rPr>
      </w:pPr>
      <w:r w:rsidRPr="00CA382A">
        <w:rPr>
          <w:i/>
          <w:iCs/>
          <w:color w:val="000000"/>
          <w:lang w:eastAsia="zh-CN"/>
        </w:rPr>
        <w:t>UE implementation aspects with respect to polarization.</w:t>
      </w:r>
    </w:p>
    <w:p w14:paraId="51E953CC" w14:textId="77777777" w:rsidR="00D055FE" w:rsidRPr="00CA382A" w:rsidRDefault="00D055FE" w:rsidP="00C22AB0">
      <w:pPr>
        <w:numPr>
          <w:ilvl w:val="0"/>
          <w:numId w:val="15"/>
        </w:numPr>
        <w:shd w:val="clear" w:color="auto" w:fill="FFFFFF"/>
        <w:overflowPunct/>
        <w:autoSpaceDE/>
        <w:autoSpaceDN/>
        <w:adjustRightInd/>
        <w:spacing w:after="0"/>
        <w:ind w:left="1440" w:hanging="270"/>
        <w:textAlignment w:val="auto"/>
        <w:rPr>
          <w:i/>
          <w:iCs/>
          <w:color w:val="000000"/>
          <w:lang w:eastAsia="zh-CN"/>
        </w:rPr>
      </w:pPr>
      <w:r w:rsidRPr="00CA382A">
        <w:rPr>
          <w:i/>
          <w:iCs/>
          <w:color w:val="000000"/>
          <w:lang w:eastAsia="zh-CN"/>
        </w:rPr>
        <w:t>Satellite implementation aspects for switching between polarization states.</w:t>
      </w:r>
    </w:p>
    <w:p w14:paraId="7F40A12E" w14:textId="77777777" w:rsidR="00D055FE" w:rsidRPr="00CA382A" w:rsidRDefault="00D055FE" w:rsidP="00C22AB0">
      <w:pPr>
        <w:numPr>
          <w:ilvl w:val="0"/>
          <w:numId w:val="15"/>
        </w:numPr>
        <w:shd w:val="clear" w:color="auto" w:fill="FFFFFF"/>
        <w:overflowPunct/>
        <w:autoSpaceDE/>
        <w:autoSpaceDN/>
        <w:adjustRightInd/>
        <w:spacing w:after="0"/>
        <w:ind w:left="1440" w:hanging="270"/>
        <w:textAlignment w:val="auto"/>
        <w:rPr>
          <w:i/>
          <w:iCs/>
          <w:color w:val="000000"/>
          <w:lang w:eastAsia="zh-CN"/>
        </w:rPr>
      </w:pPr>
      <w:r w:rsidRPr="00CA382A">
        <w:rPr>
          <w:i/>
          <w:iCs/>
          <w:color w:val="000000"/>
          <w:lang w:eastAsia="zh-CN"/>
        </w:rPr>
        <w:lastRenderedPageBreak/>
        <w:t>Satellite implementation aspects for realizing multiplexing of UEs having different polarization capabilities.</w:t>
      </w:r>
    </w:p>
    <w:p w14:paraId="6D746D60" w14:textId="77777777" w:rsidR="00D055FE" w:rsidRPr="00CA382A" w:rsidRDefault="00D055FE" w:rsidP="00C22AB0">
      <w:pPr>
        <w:ind w:hanging="270"/>
        <w:rPr>
          <w:i/>
          <w:iCs/>
          <w:lang w:eastAsia="x-none"/>
        </w:rPr>
      </w:pPr>
    </w:p>
    <w:p w14:paraId="7A62686A" w14:textId="77777777" w:rsidR="00D625C8" w:rsidRPr="00D625C8" w:rsidRDefault="00D625C8" w:rsidP="00043ED2">
      <w:pPr>
        <w:ind w:left="720"/>
        <w:rPr>
          <w:b/>
          <w:bCs/>
          <w:i/>
          <w:iCs/>
          <w:u w:val="single"/>
          <w:lang w:eastAsia="x-none"/>
        </w:rPr>
      </w:pPr>
      <w:r w:rsidRPr="00D625C8">
        <w:rPr>
          <w:b/>
          <w:bCs/>
          <w:i/>
          <w:iCs/>
          <w:u w:val="single"/>
          <w:lang w:eastAsia="x-none"/>
        </w:rPr>
        <w:t>Agreement:</w:t>
      </w:r>
    </w:p>
    <w:p w14:paraId="2C4CA145" w14:textId="77777777" w:rsidR="00D625C8" w:rsidRPr="00D625C8" w:rsidRDefault="00D625C8" w:rsidP="00043ED2">
      <w:pPr>
        <w:ind w:left="720"/>
        <w:rPr>
          <w:i/>
          <w:iCs/>
          <w:lang w:eastAsia="x-none"/>
        </w:rPr>
      </w:pPr>
      <w:r w:rsidRPr="00D625C8">
        <w:rPr>
          <w:i/>
          <w:iCs/>
          <w:lang w:eastAsia="x-none"/>
        </w:rPr>
        <w:t xml:space="preserve">Same beam layout in BWP#0 and </w:t>
      </w:r>
      <w:proofErr w:type="spellStart"/>
      <w:r w:rsidRPr="00D625C8">
        <w:rPr>
          <w:i/>
          <w:iCs/>
          <w:lang w:eastAsia="x-none"/>
        </w:rPr>
        <w:t>BWP#x</w:t>
      </w:r>
      <w:proofErr w:type="spellEnd"/>
      <w:r w:rsidRPr="00D625C8">
        <w:rPr>
          <w:i/>
          <w:iCs/>
          <w:lang w:eastAsia="x-none"/>
        </w:rPr>
        <w:t xml:space="preserve"> (Option 1) and hierarchical beam for BWP#0 (Option 2) should be supported by the specifications for NR-NTN.</w:t>
      </w:r>
    </w:p>
    <w:p w14:paraId="12D3AA29" w14:textId="77777777" w:rsidR="00D625C8" w:rsidRPr="00D625C8" w:rsidRDefault="00D625C8" w:rsidP="00043ED2">
      <w:pPr>
        <w:numPr>
          <w:ilvl w:val="0"/>
          <w:numId w:val="16"/>
        </w:numPr>
        <w:overflowPunct/>
        <w:autoSpaceDE/>
        <w:autoSpaceDN/>
        <w:adjustRightInd/>
        <w:spacing w:after="0"/>
        <w:ind w:left="1440"/>
        <w:textAlignment w:val="auto"/>
        <w:rPr>
          <w:i/>
          <w:iCs/>
          <w:lang w:eastAsia="x-none"/>
        </w:rPr>
      </w:pPr>
      <w:r w:rsidRPr="00D625C8">
        <w:rPr>
          <w:i/>
          <w:iCs/>
          <w:lang w:eastAsia="x-none"/>
        </w:rPr>
        <w:t>FFS: Whether any specification changes are needed specifically to support this functionality</w:t>
      </w:r>
    </w:p>
    <w:p w14:paraId="5D33B56B" w14:textId="77777777" w:rsidR="00D625C8" w:rsidRPr="00D625C8" w:rsidRDefault="00D625C8" w:rsidP="00043ED2">
      <w:pPr>
        <w:ind w:left="720"/>
        <w:rPr>
          <w:i/>
          <w:iCs/>
          <w:lang w:eastAsia="x-none"/>
        </w:rPr>
      </w:pPr>
    </w:p>
    <w:p w14:paraId="23C3B180" w14:textId="77777777" w:rsidR="00D625C8" w:rsidRPr="00D625C8" w:rsidRDefault="00D625C8" w:rsidP="00043ED2">
      <w:pPr>
        <w:ind w:left="720"/>
        <w:rPr>
          <w:b/>
          <w:bCs/>
          <w:i/>
          <w:iCs/>
          <w:u w:val="single"/>
          <w:lang w:eastAsia="x-none"/>
        </w:rPr>
      </w:pPr>
      <w:r w:rsidRPr="00D625C8">
        <w:rPr>
          <w:b/>
          <w:bCs/>
          <w:i/>
          <w:iCs/>
          <w:u w:val="single"/>
          <w:lang w:eastAsia="x-none"/>
        </w:rPr>
        <w:t>Agreement:</w:t>
      </w:r>
    </w:p>
    <w:p w14:paraId="257D36FF" w14:textId="77777777" w:rsidR="00D625C8" w:rsidRPr="00D625C8" w:rsidRDefault="00D625C8" w:rsidP="00043ED2">
      <w:pPr>
        <w:ind w:left="720"/>
        <w:rPr>
          <w:i/>
          <w:iCs/>
          <w:lang w:eastAsia="x-none"/>
        </w:rPr>
      </w:pPr>
      <w:r w:rsidRPr="00D625C8">
        <w:rPr>
          <w:i/>
          <w:iCs/>
          <w:lang w:eastAsia="x-none"/>
        </w:rPr>
        <w:t>For explicit indication of polarization information for DL by the network, support indication in SIB</w:t>
      </w:r>
    </w:p>
    <w:p w14:paraId="4FB390A7" w14:textId="77777777" w:rsidR="00D625C8" w:rsidRPr="00D625C8" w:rsidRDefault="00D625C8" w:rsidP="00043ED2">
      <w:pPr>
        <w:numPr>
          <w:ilvl w:val="0"/>
          <w:numId w:val="16"/>
        </w:numPr>
        <w:overflowPunct/>
        <w:autoSpaceDE/>
        <w:autoSpaceDN/>
        <w:adjustRightInd/>
        <w:spacing w:after="0"/>
        <w:ind w:left="1440"/>
        <w:textAlignment w:val="auto"/>
        <w:rPr>
          <w:i/>
          <w:iCs/>
          <w:lang w:eastAsia="x-none"/>
        </w:rPr>
      </w:pPr>
      <w:r w:rsidRPr="00D625C8">
        <w:rPr>
          <w:i/>
          <w:iCs/>
          <w:lang w:eastAsia="x-none"/>
        </w:rPr>
        <w:t>FFS: Signaling details for indication in SIB</w:t>
      </w:r>
    </w:p>
    <w:p w14:paraId="36C14377" w14:textId="77777777" w:rsidR="00D625C8" w:rsidRPr="00D625C8" w:rsidRDefault="00D625C8" w:rsidP="00043ED2">
      <w:pPr>
        <w:ind w:left="720"/>
        <w:rPr>
          <w:i/>
          <w:iCs/>
          <w:lang w:eastAsia="x-none"/>
        </w:rPr>
      </w:pPr>
    </w:p>
    <w:p w14:paraId="2F45FC2E" w14:textId="77777777" w:rsidR="00D625C8" w:rsidRPr="00D625C8" w:rsidRDefault="00D625C8" w:rsidP="00043ED2">
      <w:pPr>
        <w:ind w:left="720"/>
        <w:rPr>
          <w:b/>
          <w:bCs/>
          <w:i/>
          <w:iCs/>
          <w:u w:val="single"/>
          <w:lang w:eastAsia="x-none"/>
        </w:rPr>
      </w:pPr>
      <w:r w:rsidRPr="00D625C8">
        <w:rPr>
          <w:b/>
          <w:bCs/>
          <w:i/>
          <w:iCs/>
          <w:u w:val="single"/>
          <w:lang w:eastAsia="x-none"/>
        </w:rPr>
        <w:t>Agreement:</w:t>
      </w:r>
    </w:p>
    <w:p w14:paraId="2AE84349" w14:textId="77777777" w:rsidR="00D625C8" w:rsidRPr="00D625C8" w:rsidRDefault="00D625C8" w:rsidP="00043ED2">
      <w:pPr>
        <w:numPr>
          <w:ilvl w:val="0"/>
          <w:numId w:val="16"/>
        </w:numPr>
        <w:overflowPunct/>
        <w:autoSpaceDE/>
        <w:autoSpaceDN/>
        <w:adjustRightInd/>
        <w:spacing w:after="0"/>
        <w:ind w:left="1440"/>
        <w:textAlignment w:val="auto"/>
        <w:rPr>
          <w:i/>
          <w:iCs/>
          <w:lang w:eastAsia="x-none"/>
        </w:rPr>
      </w:pPr>
      <w:r w:rsidRPr="00D625C8">
        <w:rPr>
          <w:i/>
          <w:iCs/>
          <w:lang w:eastAsia="x-none"/>
        </w:rPr>
        <w:t>Polarization information for UL may be indicated in SIB by the network</w:t>
      </w:r>
    </w:p>
    <w:p w14:paraId="2B6A0171" w14:textId="77777777" w:rsidR="00D625C8" w:rsidRPr="00D625C8" w:rsidRDefault="00D625C8" w:rsidP="00043ED2">
      <w:pPr>
        <w:numPr>
          <w:ilvl w:val="0"/>
          <w:numId w:val="16"/>
        </w:numPr>
        <w:overflowPunct/>
        <w:autoSpaceDE/>
        <w:autoSpaceDN/>
        <w:adjustRightInd/>
        <w:spacing w:after="0"/>
        <w:ind w:left="1440"/>
        <w:textAlignment w:val="auto"/>
        <w:rPr>
          <w:i/>
          <w:iCs/>
          <w:lang w:eastAsia="x-none"/>
        </w:rPr>
      </w:pPr>
      <w:r w:rsidRPr="00D625C8">
        <w:rPr>
          <w:i/>
          <w:iCs/>
          <w:lang w:eastAsia="x-none"/>
        </w:rPr>
        <w:t>UE assumes a same polarization for UL and DL, when the UL polarization information is absent.</w:t>
      </w:r>
    </w:p>
    <w:p w14:paraId="1CC60F30" w14:textId="77777777" w:rsidR="00D625C8" w:rsidRPr="00D625C8" w:rsidRDefault="00D625C8" w:rsidP="00043ED2">
      <w:pPr>
        <w:numPr>
          <w:ilvl w:val="0"/>
          <w:numId w:val="16"/>
        </w:numPr>
        <w:overflowPunct/>
        <w:autoSpaceDE/>
        <w:autoSpaceDN/>
        <w:adjustRightInd/>
        <w:spacing w:after="0"/>
        <w:ind w:left="1440"/>
        <w:textAlignment w:val="auto"/>
        <w:rPr>
          <w:i/>
          <w:iCs/>
          <w:lang w:eastAsia="x-none"/>
        </w:rPr>
      </w:pPr>
      <w:r w:rsidRPr="00D625C8">
        <w:rPr>
          <w:i/>
          <w:iCs/>
          <w:lang w:eastAsia="x-none"/>
        </w:rPr>
        <w:t>FFS: Signaling details for indication in SIB</w:t>
      </w:r>
    </w:p>
    <w:p w14:paraId="69C5789C" w14:textId="77777777" w:rsidR="00553087" w:rsidRDefault="00553087" w:rsidP="00A71604">
      <w:pPr>
        <w:widowControl w:val="0"/>
        <w:jc w:val="both"/>
      </w:pPr>
    </w:p>
    <w:p w14:paraId="4A74936B" w14:textId="13031998" w:rsidR="00A71604" w:rsidRPr="005070A9" w:rsidRDefault="00A71604" w:rsidP="00A71604">
      <w:pPr>
        <w:tabs>
          <w:tab w:val="left" w:pos="2928"/>
        </w:tabs>
      </w:pPr>
      <w:bookmarkStart w:id="2" w:name="_Ref473802466"/>
      <w:bookmarkStart w:id="3" w:name="_Ref462669569"/>
      <w:r w:rsidRPr="005070A9">
        <w:t xml:space="preserve">In </w:t>
      </w:r>
      <w:r w:rsidR="00334752">
        <w:t>this document, we discuss cell planning and SSB arrangements</w:t>
      </w:r>
      <w:r w:rsidR="000D21ED">
        <w:t xml:space="preserve">, BWP switching, </w:t>
      </w:r>
      <w:r w:rsidR="00C9769A">
        <w:t>broadcasting</w:t>
      </w:r>
      <w:r w:rsidR="004861EB">
        <w:t xml:space="preserve"> of </w:t>
      </w:r>
      <w:r w:rsidR="00C9769A">
        <w:t xml:space="preserve">ephemeris, </w:t>
      </w:r>
      <w:r w:rsidR="000D21ED">
        <w:t>antenna diversity for PRACH, and several other issues.</w:t>
      </w:r>
    </w:p>
    <w:p w14:paraId="754859D1" w14:textId="7B709287" w:rsidR="00A71604" w:rsidRDefault="007C5FA5" w:rsidP="00A71604">
      <w:pPr>
        <w:pStyle w:val="Heading1"/>
      </w:pPr>
      <w:r>
        <w:t>Cell Planning and SSB Arrangement</w:t>
      </w:r>
    </w:p>
    <w:p w14:paraId="73AAAC72" w14:textId="77777777" w:rsidR="00A71604" w:rsidRPr="00520F4C" w:rsidRDefault="00A71604" w:rsidP="00A71604">
      <w:pPr>
        <w:pStyle w:val="Heading2"/>
      </w:pPr>
      <w:r>
        <w:t>C</w:t>
      </w:r>
      <w:r w:rsidRPr="00520F4C">
        <w:t>ell/beam/frequency planning</w:t>
      </w:r>
    </w:p>
    <w:p w14:paraId="75A685A0" w14:textId="4338EE9D" w:rsidR="00A71604" w:rsidRDefault="00A71604" w:rsidP="00A71604">
      <w:r>
        <w:t>A</w:t>
      </w:r>
      <w:r w:rsidRPr="007A0D51">
        <w:t xml:space="preserve"> satellite may use multiple antennas to form multiple </w:t>
      </w:r>
      <w:r>
        <w:t>satellite</w:t>
      </w:r>
      <w:r w:rsidRPr="007A0D51">
        <w:t xml:space="preserve"> beams</w:t>
      </w:r>
      <w:r>
        <w:t>.</w:t>
      </w:r>
      <w:r w:rsidRPr="007A0D51">
        <w:t xml:space="preserve"> </w:t>
      </w:r>
      <w:r>
        <w:t>Among the satellite beams of a satellite, frequency reuse factors less than 1 have been shown to provide significant gain in link budget [</w:t>
      </w:r>
      <w:r w:rsidR="008C7B76">
        <w:t>3</w:t>
      </w:r>
      <w:r>
        <w:t>]. Hence, beams of a satellite may use different frequency intervals. If a cell consists of multiple satellite beams with different frequency intervals, it is natural to associate a bandwidth part (BWP) with each of the frequency intervals. Also, a BWP configuration comes with other configurations essential to the operation of the network. For example, a DL BWP configuration also contains configurations about CORESETs and search spaces.</w:t>
      </w:r>
    </w:p>
    <w:p w14:paraId="106140D7" w14:textId="2077E0DD" w:rsidR="00A71604" w:rsidRDefault="00A71604" w:rsidP="00A71604">
      <w:r>
        <w:t xml:space="preserve">Four options for cell/beam/frequency planning are shown in Figure 1, where </w:t>
      </w:r>
      <w:proofErr w:type="spellStart"/>
      <w:r>
        <w:t>Opt</w:t>
      </w:r>
      <w:proofErr w:type="spellEnd"/>
      <w:r>
        <w:t xml:space="preserve"> 1 is one-beam-per-cell and </w:t>
      </w:r>
      <w:proofErr w:type="spellStart"/>
      <w:r>
        <w:t>Opt</w:t>
      </w:r>
      <w:proofErr w:type="spellEnd"/>
      <w:r>
        <w:t xml:space="preserve"> 2 (beams on the same BWP grouped as a cell), </w:t>
      </w:r>
      <w:proofErr w:type="spellStart"/>
      <w:r>
        <w:t>Opt</w:t>
      </w:r>
      <w:proofErr w:type="spellEnd"/>
      <w:r>
        <w:t xml:space="preserve"> 3 (beams in proximity grouped as a cell) and </w:t>
      </w:r>
      <w:proofErr w:type="spellStart"/>
      <w:r>
        <w:t>Opt</w:t>
      </w:r>
      <w:proofErr w:type="spellEnd"/>
      <w:r>
        <w:t xml:space="preserve"> 4 (all beams grouped as a cell) are multiple-beams-per-cell. Note that frequency reuse is applied in all options. These options have their respective pros and cons.  For example, </w:t>
      </w:r>
      <w:proofErr w:type="spellStart"/>
      <w:proofErr w:type="gramStart"/>
      <w:r>
        <w:t>Opt</w:t>
      </w:r>
      <w:proofErr w:type="spellEnd"/>
      <w:proofErr w:type="gramEnd"/>
      <w:r>
        <w:t xml:space="preserve"> 1 can be readily supported with the current specifications, but the UE will experience frequent cell handover in cases of moving cells with LEO satellites, which is expensive in terms of signaling overhead. </w:t>
      </w:r>
      <w:proofErr w:type="spellStart"/>
      <w:r>
        <w:t>Opt</w:t>
      </w:r>
      <w:proofErr w:type="spellEnd"/>
      <w:r>
        <w:t xml:space="preserve"> 4 can minimize cell handover but needs changes to the specifications on BWPs and beam management. </w:t>
      </w:r>
    </w:p>
    <w:p w14:paraId="7E01395D" w14:textId="77777777" w:rsidR="00A71604" w:rsidRPr="00DF45CA" w:rsidRDefault="00A71604" w:rsidP="00A71604">
      <w:pPr>
        <w:rPr>
          <w:b/>
          <w:bCs/>
          <w:color w:val="000000" w:themeColor="text1"/>
        </w:rPr>
      </w:pPr>
      <w:r w:rsidRPr="00DF45CA">
        <w:rPr>
          <w:b/>
          <w:bCs/>
          <w:color w:val="000000" w:themeColor="text1"/>
        </w:rPr>
        <w:t xml:space="preserve">Observation 1: Different options </w:t>
      </w:r>
      <w:r>
        <w:rPr>
          <w:b/>
          <w:bCs/>
          <w:color w:val="000000" w:themeColor="text1"/>
        </w:rPr>
        <w:t>for</w:t>
      </w:r>
      <w:r w:rsidRPr="00DF45CA">
        <w:rPr>
          <w:b/>
          <w:bCs/>
          <w:color w:val="000000" w:themeColor="text1"/>
        </w:rPr>
        <w:t xml:space="preserve"> cell/beam/frequency planning call for flexible standard design. </w:t>
      </w:r>
    </w:p>
    <w:p w14:paraId="1002AD02" w14:textId="77777777" w:rsidR="00A71604" w:rsidRPr="004150E9" w:rsidRDefault="00A71604" w:rsidP="00A71604">
      <w:r w:rsidRPr="00AA1CE4">
        <w:rPr>
          <w:lang w:val="en-GB"/>
        </w:rPr>
        <w:t xml:space="preserve">Cell/beam/frequency planning </w:t>
      </w:r>
      <w:proofErr w:type="spellStart"/>
      <w:r w:rsidRPr="00AA1CE4">
        <w:rPr>
          <w:lang w:val="en-GB"/>
        </w:rPr>
        <w:t>Opt</w:t>
      </w:r>
      <w:proofErr w:type="spellEnd"/>
      <w:r w:rsidRPr="00AA1CE4">
        <w:rPr>
          <w:lang w:val="en-GB"/>
        </w:rPr>
        <w:t xml:space="preserve"> 1 is supported by the current NR specification. </w:t>
      </w:r>
      <w:proofErr w:type="spellStart"/>
      <w:r w:rsidRPr="00AA1CE4">
        <w:rPr>
          <w:lang w:val="en-GB"/>
        </w:rPr>
        <w:t>Opt</w:t>
      </w:r>
      <w:proofErr w:type="spellEnd"/>
      <w:r w:rsidRPr="00AA1CE4">
        <w:rPr>
          <w:lang w:val="en-GB"/>
        </w:rPr>
        <w:t xml:space="preserve"> 4 is the building block for both </w:t>
      </w:r>
      <w:proofErr w:type="spellStart"/>
      <w:r w:rsidRPr="00AA1CE4">
        <w:rPr>
          <w:lang w:val="en-GB"/>
        </w:rPr>
        <w:t>Opt</w:t>
      </w:r>
      <w:proofErr w:type="spellEnd"/>
      <w:r w:rsidRPr="00AA1CE4">
        <w:rPr>
          <w:lang w:val="en-GB"/>
        </w:rPr>
        <w:t xml:space="preserve"> 2 and </w:t>
      </w:r>
      <w:proofErr w:type="spellStart"/>
      <w:r w:rsidRPr="00AA1CE4">
        <w:rPr>
          <w:lang w:val="en-GB"/>
        </w:rPr>
        <w:t>Opt</w:t>
      </w:r>
      <w:proofErr w:type="spellEnd"/>
      <w:r w:rsidRPr="00AA1CE4">
        <w:rPr>
          <w:lang w:val="en-GB"/>
        </w:rPr>
        <w:t xml:space="preserve"> 3, and hence we will focus on </w:t>
      </w:r>
      <w:proofErr w:type="spellStart"/>
      <w:r w:rsidRPr="00AA1CE4">
        <w:rPr>
          <w:lang w:val="en-GB"/>
        </w:rPr>
        <w:t>Opt</w:t>
      </w:r>
      <w:proofErr w:type="spellEnd"/>
      <w:r w:rsidRPr="00AA1CE4">
        <w:rPr>
          <w:lang w:val="en-GB"/>
        </w:rPr>
        <w:t xml:space="preserve"> 4 in the remainder of the document. </w:t>
      </w:r>
      <w:r w:rsidRPr="00ED1D9F">
        <w:t xml:space="preserve"> </w:t>
      </w:r>
      <w:r w:rsidRPr="006A460C">
        <w:t xml:space="preserve">  </w:t>
      </w:r>
    </w:p>
    <w:p w14:paraId="51B3E1E5" w14:textId="77777777" w:rsidR="00A71604" w:rsidRDefault="00A71604" w:rsidP="00A71604">
      <w:pPr>
        <w:keepNext/>
        <w:tabs>
          <w:tab w:val="left" w:pos="2808"/>
        </w:tabs>
        <w:jc w:val="center"/>
      </w:pPr>
      <w:r>
        <w:object w:dxaOrig="9996" w:dyaOrig="5424" w14:anchorId="6BD5FE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85pt;height:186.05pt" o:ole="">
            <v:imagedata r:id="rId8" o:title=""/>
          </v:shape>
          <o:OLEObject Type="Embed" ProgID="Visio.Drawing.15" ShapeID="_x0000_i1025" DrawAspect="Content" ObjectID="_1689749738" r:id="rId9"/>
        </w:object>
      </w:r>
    </w:p>
    <w:p w14:paraId="7CEDE28F" w14:textId="7422ECD6" w:rsidR="00A71604" w:rsidRDefault="00A71604" w:rsidP="00A71604">
      <w:pPr>
        <w:pStyle w:val="Caption"/>
      </w:pPr>
      <w:bookmarkStart w:id="4" w:name="_Hlk47392636"/>
      <w:r>
        <w:t xml:space="preserve">Figure </w:t>
      </w:r>
      <w:fldSimple w:instr=" SEQ Figure \* ARABIC ">
        <w:r w:rsidR="00EF24ED">
          <w:rPr>
            <w:noProof/>
          </w:rPr>
          <w:t>1</w:t>
        </w:r>
      </w:fldSimple>
      <w:r>
        <w:t>. Options for cell/beam/frequency planning among the beams from a same satellite</w:t>
      </w:r>
      <w:bookmarkEnd w:id="4"/>
      <w:r>
        <w:t xml:space="preserve"> </w:t>
      </w:r>
    </w:p>
    <w:p w14:paraId="4D197605" w14:textId="77777777" w:rsidR="00A71604" w:rsidRDefault="00A71604" w:rsidP="00A71604"/>
    <w:p w14:paraId="64D17136" w14:textId="0984DF31" w:rsidR="00A71604" w:rsidRDefault="00A71604" w:rsidP="00A71604">
      <w:r>
        <w:t xml:space="preserve">In terrestrial networks where different network transmit beams require different receive beams or spatial directions at UE for maximal antenna gain. In NTN, however, the best spatial direction of a UE transceiver is typically the same for all the satellite beams. That is, a VSAT type UE should always have </w:t>
      </w:r>
      <w:r w:rsidR="00C71C56">
        <w:t>antenna</w:t>
      </w:r>
      <w:r>
        <w:t xml:space="preserve"> direction pointing towards the satellite, regardless the satellite beam it is connected to. </w:t>
      </w:r>
    </w:p>
    <w:p w14:paraId="6DDAA0E4" w14:textId="77777777" w:rsidR="0039424A" w:rsidRPr="005548BB" w:rsidRDefault="0039424A" w:rsidP="0039424A">
      <w:pPr>
        <w:rPr>
          <w:b/>
          <w:bCs/>
        </w:rPr>
      </w:pPr>
      <w:r w:rsidRPr="005548BB">
        <w:rPr>
          <w:b/>
          <w:bCs/>
        </w:rPr>
        <w:t xml:space="preserve">Observation 2: Different beams of a satellite may have different carrier </w:t>
      </w:r>
      <w:proofErr w:type="gramStart"/>
      <w:r w:rsidRPr="005548BB">
        <w:rPr>
          <w:b/>
          <w:bCs/>
        </w:rPr>
        <w:t>frequencies</w:t>
      </w:r>
      <w:proofErr w:type="gramEnd"/>
      <w:r w:rsidRPr="005548BB">
        <w:rPr>
          <w:b/>
          <w:bCs/>
        </w:rPr>
        <w:t xml:space="preserve"> but the same </w:t>
      </w:r>
      <w:r>
        <w:rPr>
          <w:b/>
          <w:bCs/>
        </w:rPr>
        <w:t xml:space="preserve">optimal </w:t>
      </w:r>
      <w:r w:rsidRPr="005548BB">
        <w:rPr>
          <w:b/>
          <w:bCs/>
        </w:rPr>
        <w:t>UE transmit and receive spatial direction.</w:t>
      </w:r>
    </w:p>
    <w:p w14:paraId="2652F52F" w14:textId="77777777" w:rsidR="00A71604" w:rsidRPr="009B2261" w:rsidRDefault="00A71604" w:rsidP="00A71604">
      <w:r>
        <w:t xml:space="preserve">As such, it is natural to associate a satellite beam with a BWP, at least an initial BWP.  </w:t>
      </w:r>
    </w:p>
    <w:p w14:paraId="5794E071" w14:textId="77777777" w:rsidR="00A71604" w:rsidRDefault="00A71604" w:rsidP="00A71604">
      <w:pPr>
        <w:rPr>
          <w:b/>
          <w:bCs/>
          <w:lang w:val="en-GB"/>
        </w:rPr>
      </w:pPr>
      <w:r w:rsidRPr="00DF45CA">
        <w:rPr>
          <w:b/>
          <w:bCs/>
          <w:lang w:val="en-GB"/>
        </w:rPr>
        <w:t xml:space="preserve">Proposal </w:t>
      </w:r>
      <w:r>
        <w:rPr>
          <w:b/>
          <w:bCs/>
          <w:lang w:val="en-GB"/>
        </w:rPr>
        <w:t>1</w:t>
      </w:r>
      <w:r w:rsidRPr="00DF45CA">
        <w:rPr>
          <w:b/>
          <w:bCs/>
          <w:lang w:val="en-GB"/>
        </w:rPr>
        <w:t xml:space="preserve">: Support </w:t>
      </w:r>
      <w:r>
        <w:rPr>
          <w:b/>
          <w:bCs/>
          <w:lang w:val="en-GB"/>
        </w:rPr>
        <w:t xml:space="preserve">satellite beam specific initial BWPs. </w:t>
      </w:r>
    </w:p>
    <w:p w14:paraId="05733D20" w14:textId="77777777" w:rsidR="00A71604" w:rsidRPr="00AA1CE4" w:rsidRDefault="00A71604" w:rsidP="00A71604">
      <w:pPr>
        <w:rPr>
          <w:lang w:val="en-GB"/>
        </w:rPr>
      </w:pPr>
      <w:r w:rsidRPr="00AA1CE4">
        <w:rPr>
          <w:lang w:val="en-GB"/>
        </w:rPr>
        <w:t xml:space="preserve">For Rel-17, it is important to support </w:t>
      </w:r>
      <w:r>
        <w:rPr>
          <w:lang w:val="en-GB"/>
        </w:rPr>
        <w:t>diverse</w:t>
      </w:r>
      <w:r w:rsidRPr="00AA1CE4">
        <w:rPr>
          <w:lang w:val="en-GB"/>
        </w:rPr>
        <w:t xml:space="preserve"> satellite implementation options and hence it is necessary to support flexible design of SSB arrangements and BWP operations.</w:t>
      </w:r>
      <w:r>
        <w:rPr>
          <w:lang w:val="en-GB"/>
        </w:rPr>
        <w:t xml:space="preserve"> To avoid backward compatibility issue in the future, it is important to ensure flexible design in the first release of NTN specification.</w:t>
      </w:r>
    </w:p>
    <w:p w14:paraId="66CFAA5E" w14:textId="77777777" w:rsidR="00A71604" w:rsidRPr="00315853" w:rsidRDefault="00A71604" w:rsidP="00A71604">
      <w:pPr>
        <w:pStyle w:val="Heading2"/>
        <w:rPr>
          <w:lang w:val="en-US"/>
        </w:rPr>
      </w:pPr>
      <w:r w:rsidRPr="00315853">
        <w:t>SSB arrangement</w:t>
      </w:r>
      <w:r>
        <w:t>s</w:t>
      </w:r>
    </w:p>
    <w:p w14:paraId="47C7BECD" w14:textId="77777777" w:rsidR="00A71604" w:rsidRDefault="00A71604" w:rsidP="00A71604">
      <w:pPr>
        <w:rPr>
          <w:lang w:val="en-GB"/>
        </w:rPr>
      </w:pPr>
      <w:r w:rsidRPr="00AA1CE4">
        <w:rPr>
          <w:lang w:val="en-GB"/>
        </w:rPr>
        <w:t xml:space="preserve">The SSB arrangement for </w:t>
      </w:r>
      <w:proofErr w:type="spellStart"/>
      <w:r w:rsidRPr="00AA1CE4">
        <w:rPr>
          <w:lang w:val="en-GB"/>
        </w:rPr>
        <w:t>Opt</w:t>
      </w:r>
      <w:proofErr w:type="spellEnd"/>
      <w:r w:rsidRPr="00AA1CE4">
        <w:rPr>
          <w:lang w:val="en-GB"/>
        </w:rPr>
        <w:t xml:space="preserve"> 1 of cell/beam/frequency planning is trivia</w:t>
      </w:r>
      <w:r>
        <w:rPr>
          <w:lang w:val="en-GB"/>
        </w:rPr>
        <w:t>l</w:t>
      </w:r>
      <w:r w:rsidRPr="00AA1CE4">
        <w:rPr>
          <w:lang w:val="en-GB"/>
        </w:rPr>
        <w:t xml:space="preserve">, because there is only one beam within each cell. We focus on the SSB arrangement for </w:t>
      </w:r>
      <w:proofErr w:type="spellStart"/>
      <w:r w:rsidRPr="00AA1CE4">
        <w:rPr>
          <w:lang w:val="en-GB"/>
        </w:rPr>
        <w:t>Opt</w:t>
      </w:r>
      <w:proofErr w:type="spellEnd"/>
      <w:r w:rsidRPr="00AA1CE4">
        <w:rPr>
          <w:lang w:val="en-GB"/>
        </w:rPr>
        <w:t xml:space="preserve"> 4, which is the basis for both </w:t>
      </w:r>
      <w:proofErr w:type="spellStart"/>
      <w:r w:rsidRPr="00AA1CE4">
        <w:rPr>
          <w:lang w:val="en-GB"/>
        </w:rPr>
        <w:t>Opt</w:t>
      </w:r>
      <w:proofErr w:type="spellEnd"/>
      <w:r w:rsidRPr="00AA1CE4">
        <w:rPr>
          <w:lang w:val="en-GB"/>
        </w:rPr>
        <w:t xml:space="preserve"> 2 and </w:t>
      </w:r>
      <w:proofErr w:type="spellStart"/>
      <w:r w:rsidRPr="00AA1CE4">
        <w:rPr>
          <w:lang w:val="en-GB"/>
        </w:rPr>
        <w:t>Opt</w:t>
      </w:r>
      <w:proofErr w:type="spellEnd"/>
      <w:r w:rsidRPr="00AA1CE4">
        <w:rPr>
          <w:lang w:val="en-GB"/>
        </w:rPr>
        <w:t xml:space="preserve"> 3</w:t>
      </w:r>
      <w:r w:rsidRPr="00BD0968">
        <w:rPr>
          <w:lang w:val="en-GB"/>
        </w:rPr>
        <w:t>. The</w:t>
      </w:r>
      <w:r>
        <w:rPr>
          <w:lang w:val="en-GB"/>
        </w:rPr>
        <w:t xml:space="preserve"> SSB transmissions in a cell may be arranged such that they occupy a same frequency interval (Alt 1), or they are within the BWPs of their respective satellite beams (Alt 2), as shown in Figure 2. </w:t>
      </w:r>
    </w:p>
    <w:p w14:paraId="54EF9277" w14:textId="77777777" w:rsidR="00A71604" w:rsidRPr="0017462C" w:rsidRDefault="00A71604" w:rsidP="00A71604">
      <w:r>
        <w:rPr>
          <w:b/>
          <w:bCs/>
          <w:lang w:val="en-GB"/>
        </w:rPr>
        <w:t>Alt 1</w:t>
      </w:r>
      <w:r w:rsidRPr="003A2C62">
        <w:rPr>
          <w:b/>
          <w:bCs/>
          <w:lang w:val="en-GB"/>
        </w:rPr>
        <w:t>:</w:t>
      </w:r>
      <w:r>
        <w:rPr>
          <w:lang w:val="en-GB"/>
        </w:rPr>
        <w:t xml:space="preserve"> </w:t>
      </w:r>
      <w:r w:rsidRPr="0017462C">
        <w:t xml:space="preserve">All SSB transmissions </w:t>
      </w:r>
      <w:r>
        <w:t xml:space="preserve">in a cell </w:t>
      </w:r>
      <w:r w:rsidRPr="0017462C">
        <w:t xml:space="preserve">occupy a same frequency interval (which may be fully contained in a BWP or straddle two BWPs) </w:t>
      </w:r>
    </w:p>
    <w:p w14:paraId="05D2D0D3" w14:textId="77777777" w:rsidR="00A71604" w:rsidRPr="0017462C" w:rsidRDefault="00A71604" w:rsidP="00A71604">
      <w:pPr>
        <w:pStyle w:val="ListParagraph"/>
        <w:numPr>
          <w:ilvl w:val="0"/>
          <w:numId w:val="4"/>
        </w:numPr>
        <w:rPr>
          <w:rFonts w:ascii="Times New Roman" w:eastAsia="SimSun" w:hAnsi="Times New Roman"/>
          <w:sz w:val="20"/>
          <w:szCs w:val="20"/>
        </w:rPr>
      </w:pPr>
      <w:r w:rsidRPr="0017462C">
        <w:rPr>
          <w:rFonts w:ascii="Times New Roman" w:eastAsia="SimSun" w:hAnsi="Times New Roman"/>
          <w:sz w:val="20"/>
          <w:szCs w:val="20"/>
        </w:rPr>
        <w:t>Pros: there is a smaller number of potential SSB frequencies</w:t>
      </w:r>
      <w:r>
        <w:rPr>
          <w:rFonts w:ascii="Times New Roman" w:eastAsia="SimSun" w:hAnsi="Times New Roman"/>
          <w:sz w:val="20"/>
          <w:szCs w:val="20"/>
        </w:rPr>
        <w:t xml:space="preserve"> for the UE to search for</w:t>
      </w:r>
      <w:r w:rsidRPr="0017462C">
        <w:rPr>
          <w:rFonts w:ascii="Times New Roman" w:eastAsia="SimSun" w:hAnsi="Times New Roman"/>
          <w:sz w:val="20"/>
          <w:szCs w:val="20"/>
        </w:rPr>
        <w:t xml:space="preserve">, and they can be placed in a sparse synch raster, which </w:t>
      </w:r>
      <w:r>
        <w:rPr>
          <w:rFonts w:ascii="Times New Roman" w:eastAsia="SimSun" w:hAnsi="Times New Roman"/>
          <w:sz w:val="20"/>
          <w:szCs w:val="20"/>
        </w:rPr>
        <w:t>reduces initial access time</w:t>
      </w:r>
    </w:p>
    <w:p w14:paraId="03A1F038" w14:textId="77777777" w:rsidR="00A71604" w:rsidRDefault="00A71604" w:rsidP="00A71604">
      <w:pPr>
        <w:pStyle w:val="ListParagraph"/>
        <w:numPr>
          <w:ilvl w:val="0"/>
          <w:numId w:val="4"/>
        </w:numPr>
        <w:rPr>
          <w:rFonts w:ascii="Times New Roman" w:eastAsia="SimSun" w:hAnsi="Times New Roman"/>
          <w:sz w:val="20"/>
          <w:szCs w:val="20"/>
        </w:rPr>
      </w:pPr>
      <w:r w:rsidRPr="0017462C">
        <w:rPr>
          <w:rFonts w:ascii="Times New Roman" w:eastAsia="SimSun" w:hAnsi="Times New Roman"/>
          <w:sz w:val="20"/>
          <w:szCs w:val="20"/>
        </w:rPr>
        <w:t xml:space="preserve">Cons: A satellite beam needs to be tuned from the BWP that it uses for data communication to the </w:t>
      </w:r>
      <w:r>
        <w:rPr>
          <w:rFonts w:ascii="Times New Roman" w:eastAsia="SimSun" w:hAnsi="Times New Roman"/>
          <w:sz w:val="20"/>
          <w:szCs w:val="20"/>
        </w:rPr>
        <w:t>same</w:t>
      </w:r>
      <w:r w:rsidRPr="0017462C">
        <w:rPr>
          <w:rFonts w:ascii="Times New Roman" w:eastAsia="SimSun" w:hAnsi="Times New Roman"/>
          <w:sz w:val="20"/>
          <w:szCs w:val="20"/>
        </w:rPr>
        <w:t xml:space="preserve"> </w:t>
      </w:r>
      <w:r>
        <w:rPr>
          <w:rFonts w:ascii="Times New Roman" w:eastAsia="SimSun" w:hAnsi="Times New Roman"/>
          <w:sz w:val="20"/>
          <w:szCs w:val="20"/>
        </w:rPr>
        <w:t xml:space="preserve">SSB </w:t>
      </w:r>
      <w:r w:rsidRPr="0017462C">
        <w:rPr>
          <w:rFonts w:ascii="Times New Roman" w:eastAsia="SimSun" w:hAnsi="Times New Roman"/>
          <w:sz w:val="20"/>
          <w:szCs w:val="20"/>
        </w:rPr>
        <w:t>frequency periodically. This may increase the hardware complexity o</w:t>
      </w:r>
      <w:r>
        <w:rPr>
          <w:rFonts w:ascii="Times New Roman" w:eastAsia="SimSun" w:hAnsi="Times New Roman"/>
          <w:sz w:val="20"/>
          <w:szCs w:val="20"/>
        </w:rPr>
        <w:t>f</w:t>
      </w:r>
      <w:r w:rsidRPr="0017462C">
        <w:rPr>
          <w:rFonts w:ascii="Times New Roman" w:eastAsia="SimSun" w:hAnsi="Times New Roman"/>
          <w:sz w:val="20"/>
          <w:szCs w:val="20"/>
        </w:rPr>
        <w:t xml:space="preserve"> the satellite.</w:t>
      </w:r>
    </w:p>
    <w:p w14:paraId="76894558" w14:textId="77777777" w:rsidR="00A71604" w:rsidRPr="0017462C" w:rsidRDefault="00A71604" w:rsidP="00A71604">
      <w:pPr>
        <w:ind w:left="360"/>
      </w:pPr>
    </w:p>
    <w:p w14:paraId="0B36393B" w14:textId="77777777" w:rsidR="00A71604" w:rsidRPr="0017462C" w:rsidRDefault="00A71604" w:rsidP="00A71604">
      <w:r>
        <w:rPr>
          <w:b/>
          <w:bCs/>
          <w:lang w:val="en-GB"/>
        </w:rPr>
        <w:t>Alt 2</w:t>
      </w:r>
      <w:r w:rsidRPr="0017462C">
        <w:rPr>
          <w:b/>
          <w:bCs/>
          <w:lang w:val="en-GB"/>
        </w:rPr>
        <w:t>:</w:t>
      </w:r>
      <w:r>
        <w:rPr>
          <w:lang w:val="en-GB"/>
        </w:rPr>
        <w:t xml:space="preserve"> </w:t>
      </w:r>
      <w:r w:rsidRPr="0017462C">
        <w:t xml:space="preserve">The SSB transmission in a satellite beam </w:t>
      </w:r>
      <w:r>
        <w:t xml:space="preserve">of a cell </w:t>
      </w:r>
      <w:r w:rsidRPr="0017462C">
        <w:t>is within the BWP associated with the satellite beam</w:t>
      </w:r>
    </w:p>
    <w:p w14:paraId="3A3E5471" w14:textId="77777777" w:rsidR="00A71604" w:rsidRPr="0017462C" w:rsidRDefault="00A71604" w:rsidP="00A71604">
      <w:pPr>
        <w:pStyle w:val="ListParagraph"/>
        <w:numPr>
          <w:ilvl w:val="0"/>
          <w:numId w:val="5"/>
        </w:numPr>
        <w:rPr>
          <w:rFonts w:ascii="Times New Roman" w:eastAsia="SimSun" w:hAnsi="Times New Roman"/>
          <w:sz w:val="20"/>
          <w:szCs w:val="20"/>
        </w:rPr>
      </w:pPr>
      <w:r w:rsidRPr="0017462C">
        <w:rPr>
          <w:rFonts w:ascii="Times New Roman" w:eastAsia="SimSun" w:hAnsi="Times New Roman"/>
          <w:sz w:val="20"/>
          <w:szCs w:val="20"/>
        </w:rPr>
        <w:t xml:space="preserve">Pros: A satellite beam does not need to tune away from its BWP to transmit an SSB, and this </w:t>
      </w:r>
      <w:r>
        <w:rPr>
          <w:rFonts w:ascii="Times New Roman" w:eastAsia="SimSun" w:hAnsi="Times New Roman"/>
          <w:sz w:val="20"/>
          <w:szCs w:val="20"/>
        </w:rPr>
        <w:t>avoids</w:t>
      </w:r>
      <w:r w:rsidRPr="0017462C">
        <w:rPr>
          <w:rFonts w:ascii="Times New Roman" w:eastAsia="SimSun" w:hAnsi="Times New Roman"/>
          <w:sz w:val="20"/>
          <w:szCs w:val="20"/>
        </w:rPr>
        <w:t xml:space="preserve"> </w:t>
      </w:r>
      <w:r>
        <w:rPr>
          <w:rFonts w:ascii="Times New Roman" w:eastAsia="SimSun" w:hAnsi="Times New Roman"/>
          <w:sz w:val="20"/>
          <w:szCs w:val="20"/>
        </w:rPr>
        <w:t xml:space="preserve">the </w:t>
      </w:r>
      <w:r w:rsidRPr="0017462C">
        <w:rPr>
          <w:rFonts w:ascii="Times New Roman" w:eastAsia="SimSun" w:hAnsi="Times New Roman"/>
          <w:sz w:val="20"/>
          <w:szCs w:val="20"/>
        </w:rPr>
        <w:t xml:space="preserve">increase </w:t>
      </w:r>
      <w:r>
        <w:rPr>
          <w:rFonts w:ascii="Times New Roman" w:eastAsia="SimSun" w:hAnsi="Times New Roman"/>
          <w:sz w:val="20"/>
          <w:szCs w:val="20"/>
        </w:rPr>
        <w:t xml:space="preserve">in </w:t>
      </w:r>
      <w:r w:rsidRPr="0017462C">
        <w:rPr>
          <w:rFonts w:ascii="Times New Roman" w:eastAsia="SimSun" w:hAnsi="Times New Roman"/>
          <w:sz w:val="20"/>
          <w:szCs w:val="20"/>
        </w:rPr>
        <w:t>hardware complexity.</w:t>
      </w:r>
    </w:p>
    <w:p w14:paraId="043A3BE3" w14:textId="77777777" w:rsidR="00A71604" w:rsidRPr="0017462C" w:rsidRDefault="00A71604" w:rsidP="00A71604">
      <w:pPr>
        <w:pStyle w:val="ListParagraph"/>
        <w:numPr>
          <w:ilvl w:val="0"/>
          <w:numId w:val="5"/>
        </w:numPr>
        <w:rPr>
          <w:rFonts w:ascii="Times New Roman" w:eastAsia="SimSun" w:hAnsi="Times New Roman"/>
          <w:sz w:val="20"/>
          <w:szCs w:val="20"/>
        </w:rPr>
      </w:pPr>
      <w:r w:rsidRPr="0017462C">
        <w:rPr>
          <w:rFonts w:ascii="Times New Roman" w:eastAsia="SimSun" w:hAnsi="Times New Roman"/>
          <w:sz w:val="20"/>
          <w:szCs w:val="20"/>
        </w:rPr>
        <w:t xml:space="preserve">Cons: </w:t>
      </w:r>
      <w:r>
        <w:rPr>
          <w:rFonts w:ascii="Times New Roman" w:eastAsia="SimSun" w:hAnsi="Times New Roman"/>
          <w:sz w:val="20"/>
          <w:szCs w:val="20"/>
        </w:rPr>
        <w:t>The number of SSB frequencies will be larger than in Alt 1, and the SSB frequencies need to be placed on a dense synch raster, leading to an increase in the initial access time.</w:t>
      </w:r>
    </w:p>
    <w:p w14:paraId="491815DB" w14:textId="77777777" w:rsidR="00A71604" w:rsidRDefault="00A71604" w:rsidP="00A71604">
      <w:pPr>
        <w:jc w:val="center"/>
        <w:rPr>
          <w:lang w:val="en-GB"/>
        </w:rPr>
      </w:pPr>
      <w:r>
        <w:object w:dxaOrig="9648" w:dyaOrig="4068" w14:anchorId="0B939F8D">
          <v:shape id="_x0000_i1026" type="#_x0000_t75" style="width:371.95pt;height:156pt" o:ole="">
            <v:imagedata r:id="rId10" o:title=""/>
          </v:shape>
          <o:OLEObject Type="Embed" ProgID="Visio.Drawing.15" ShapeID="_x0000_i1026" DrawAspect="Content" ObjectID="_1689749739" r:id="rId11"/>
        </w:object>
      </w:r>
    </w:p>
    <w:p w14:paraId="3C0B5AB6" w14:textId="77777777" w:rsidR="00A71604" w:rsidRDefault="00A71604" w:rsidP="00A71604">
      <w:pPr>
        <w:rPr>
          <w:b/>
          <w:bCs/>
        </w:rPr>
      </w:pPr>
      <w:r w:rsidRPr="00E34CA8">
        <w:rPr>
          <w:b/>
          <w:bCs/>
        </w:rPr>
        <w:t xml:space="preserve">Figure </w:t>
      </w:r>
      <w:r>
        <w:rPr>
          <w:b/>
          <w:bCs/>
        </w:rPr>
        <w:t>2</w:t>
      </w:r>
      <w:r w:rsidRPr="00E34CA8">
        <w:rPr>
          <w:b/>
          <w:bCs/>
        </w:rPr>
        <w:t xml:space="preserve">. </w:t>
      </w:r>
      <w:r>
        <w:rPr>
          <w:b/>
          <w:bCs/>
        </w:rPr>
        <w:t>SSB arrangements in time and frequency: Alt 1: SSBs are in a same frequency interval, and Alt 2: SSBs are within respective BWPs.</w:t>
      </w:r>
    </w:p>
    <w:p w14:paraId="1AA3BE07" w14:textId="77777777" w:rsidR="00A71604" w:rsidRPr="00E34CA8" w:rsidRDefault="00A71604" w:rsidP="00A71604">
      <w:pPr>
        <w:rPr>
          <w:b/>
          <w:bCs/>
          <w:lang w:val="en-GB"/>
        </w:rPr>
      </w:pPr>
    </w:p>
    <w:p w14:paraId="16BDD814" w14:textId="02605A6B" w:rsidR="00A71604" w:rsidRPr="00CF4E9A" w:rsidRDefault="00A71604" w:rsidP="00A71604">
      <w:pPr>
        <w:rPr>
          <w:rFonts w:eastAsia="Calibri"/>
          <w:b/>
          <w:bCs/>
          <w:lang w:val="en-GB"/>
        </w:rPr>
      </w:pPr>
      <w:r w:rsidRPr="00CF4E9A">
        <w:rPr>
          <w:rFonts w:eastAsia="Calibri"/>
          <w:b/>
          <w:bCs/>
          <w:lang w:val="en-GB"/>
        </w:rPr>
        <w:t xml:space="preserve">Proposal </w:t>
      </w:r>
      <w:r w:rsidR="0039424A">
        <w:rPr>
          <w:rFonts w:eastAsia="Calibri"/>
          <w:b/>
          <w:bCs/>
          <w:lang w:val="en-GB"/>
        </w:rPr>
        <w:t>2</w:t>
      </w:r>
      <w:r w:rsidRPr="00CF4E9A">
        <w:rPr>
          <w:rFonts w:eastAsia="Calibri"/>
          <w:b/>
          <w:bCs/>
          <w:lang w:val="en-GB"/>
        </w:rPr>
        <w:t xml:space="preserve">: </w:t>
      </w:r>
      <w:r>
        <w:rPr>
          <w:rFonts w:eastAsia="Calibri"/>
          <w:b/>
          <w:bCs/>
          <w:lang w:val="en-GB"/>
        </w:rPr>
        <w:t xml:space="preserve">Support the following </w:t>
      </w:r>
      <w:r w:rsidRPr="00CF4E9A">
        <w:rPr>
          <w:rFonts w:eastAsia="Calibri"/>
          <w:b/>
          <w:bCs/>
          <w:lang w:val="en-GB"/>
        </w:rPr>
        <w:t>SSB arrangement</w:t>
      </w:r>
      <w:r>
        <w:rPr>
          <w:rFonts w:eastAsia="Calibri"/>
          <w:b/>
          <w:bCs/>
          <w:lang w:val="en-GB"/>
        </w:rPr>
        <w:t>s</w:t>
      </w:r>
    </w:p>
    <w:p w14:paraId="0C174053" w14:textId="77777777" w:rsidR="00A71604" w:rsidRPr="00CF4E9A" w:rsidRDefault="00A71604" w:rsidP="00A71604">
      <w:pPr>
        <w:pStyle w:val="ListParagraph"/>
        <w:numPr>
          <w:ilvl w:val="0"/>
          <w:numId w:val="3"/>
        </w:numPr>
        <w:rPr>
          <w:rFonts w:ascii="Times New Roman" w:hAnsi="Times New Roman"/>
          <w:b/>
          <w:bCs/>
          <w:sz w:val="20"/>
          <w:szCs w:val="20"/>
          <w:lang w:val="en-GB"/>
        </w:rPr>
      </w:pPr>
      <w:r>
        <w:rPr>
          <w:rFonts w:ascii="Times New Roman" w:hAnsi="Times New Roman"/>
          <w:b/>
          <w:bCs/>
          <w:sz w:val="20"/>
          <w:szCs w:val="20"/>
          <w:lang w:val="en-GB"/>
        </w:rPr>
        <w:t xml:space="preserve">Alt 1: </w:t>
      </w:r>
      <w:r w:rsidRPr="00CF4E9A">
        <w:rPr>
          <w:rFonts w:ascii="Times New Roman" w:hAnsi="Times New Roman"/>
          <w:b/>
          <w:bCs/>
          <w:sz w:val="20"/>
          <w:szCs w:val="20"/>
          <w:lang w:val="en-GB"/>
        </w:rPr>
        <w:t xml:space="preserve">SSBs </w:t>
      </w:r>
      <w:r>
        <w:rPr>
          <w:rFonts w:ascii="Times New Roman" w:hAnsi="Times New Roman"/>
          <w:b/>
          <w:bCs/>
          <w:sz w:val="20"/>
          <w:szCs w:val="20"/>
          <w:lang w:val="en-GB"/>
        </w:rPr>
        <w:t>of</w:t>
      </w:r>
      <w:r w:rsidRPr="00CF4E9A">
        <w:rPr>
          <w:rFonts w:ascii="Times New Roman" w:hAnsi="Times New Roman"/>
          <w:b/>
          <w:bCs/>
          <w:sz w:val="20"/>
          <w:szCs w:val="20"/>
          <w:lang w:val="en-GB"/>
        </w:rPr>
        <w:t xml:space="preserve"> all satellite beams</w:t>
      </w:r>
      <w:r>
        <w:rPr>
          <w:rFonts w:ascii="Times New Roman" w:hAnsi="Times New Roman"/>
          <w:b/>
          <w:bCs/>
          <w:sz w:val="20"/>
          <w:szCs w:val="20"/>
          <w:lang w:val="en-GB"/>
        </w:rPr>
        <w:t xml:space="preserve"> in</w:t>
      </w:r>
      <w:r w:rsidRPr="00CF4E9A">
        <w:rPr>
          <w:rFonts w:ascii="Times New Roman" w:hAnsi="Times New Roman"/>
          <w:b/>
          <w:bCs/>
          <w:sz w:val="20"/>
          <w:szCs w:val="20"/>
          <w:lang w:val="en-GB"/>
        </w:rPr>
        <w:t xml:space="preserve"> a same </w:t>
      </w:r>
      <w:r>
        <w:rPr>
          <w:rFonts w:ascii="Times New Roman" w:hAnsi="Times New Roman"/>
          <w:b/>
          <w:bCs/>
          <w:sz w:val="20"/>
          <w:szCs w:val="20"/>
          <w:lang w:val="en-GB"/>
        </w:rPr>
        <w:t>cell</w:t>
      </w:r>
      <w:r w:rsidRPr="00CF4E9A">
        <w:rPr>
          <w:rFonts w:ascii="Times New Roman" w:hAnsi="Times New Roman"/>
          <w:b/>
          <w:bCs/>
          <w:sz w:val="20"/>
          <w:szCs w:val="20"/>
          <w:lang w:val="en-GB"/>
        </w:rPr>
        <w:t xml:space="preserve"> </w:t>
      </w:r>
      <w:r>
        <w:rPr>
          <w:rFonts w:ascii="Times New Roman" w:hAnsi="Times New Roman"/>
          <w:b/>
          <w:bCs/>
          <w:sz w:val="20"/>
          <w:szCs w:val="20"/>
          <w:lang w:val="en-GB"/>
        </w:rPr>
        <w:t>are transmitted within</w:t>
      </w:r>
      <w:r w:rsidRPr="00CF4E9A">
        <w:rPr>
          <w:rFonts w:ascii="Times New Roman" w:hAnsi="Times New Roman"/>
          <w:b/>
          <w:bCs/>
          <w:sz w:val="20"/>
          <w:szCs w:val="20"/>
          <w:lang w:val="en-GB"/>
        </w:rPr>
        <w:t xml:space="preserve"> </w:t>
      </w:r>
      <w:r>
        <w:rPr>
          <w:rFonts w:ascii="Times New Roman" w:hAnsi="Times New Roman"/>
          <w:b/>
          <w:bCs/>
          <w:sz w:val="20"/>
          <w:szCs w:val="20"/>
          <w:lang w:val="en-GB"/>
        </w:rPr>
        <w:t>a</w:t>
      </w:r>
      <w:r w:rsidRPr="00CF4E9A">
        <w:rPr>
          <w:rFonts w:ascii="Times New Roman" w:hAnsi="Times New Roman"/>
          <w:b/>
          <w:bCs/>
          <w:sz w:val="20"/>
          <w:szCs w:val="20"/>
          <w:lang w:val="en-GB"/>
        </w:rPr>
        <w:t xml:space="preserve"> same frequency interval and do not overlap in time</w:t>
      </w:r>
    </w:p>
    <w:p w14:paraId="730B6772" w14:textId="77777777" w:rsidR="00A71604" w:rsidRPr="00CF4E9A" w:rsidRDefault="00A71604" w:rsidP="00A71604">
      <w:pPr>
        <w:pStyle w:val="ListParagraph"/>
        <w:numPr>
          <w:ilvl w:val="0"/>
          <w:numId w:val="3"/>
        </w:numPr>
        <w:rPr>
          <w:rFonts w:ascii="Times New Roman" w:hAnsi="Times New Roman"/>
          <w:b/>
          <w:bCs/>
          <w:sz w:val="20"/>
          <w:szCs w:val="20"/>
          <w:lang w:val="en-GB"/>
        </w:rPr>
      </w:pPr>
      <w:r>
        <w:rPr>
          <w:rFonts w:ascii="Times New Roman" w:hAnsi="Times New Roman"/>
          <w:b/>
          <w:bCs/>
          <w:sz w:val="20"/>
          <w:szCs w:val="20"/>
          <w:lang w:val="en-GB"/>
        </w:rPr>
        <w:t xml:space="preserve">Alt 2: </w:t>
      </w:r>
      <w:r w:rsidRPr="00CF4E9A">
        <w:rPr>
          <w:rFonts w:ascii="Times New Roman" w:hAnsi="Times New Roman"/>
          <w:b/>
          <w:bCs/>
          <w:sz w:val="20"/>
          <w:szCs w:val="20"/>
          <w:lang w:val="en-GB"/>
        </w:rPr>
        <w:t xml:space="preserve">SSBs </w:t>
      </w:r>
      <w:r>
        <w:rPr>
          <w:rFonts w:ascii="Times New Roman" w:hAnsi="Times New Roman"/>
          <w:b/>
          <w:bCs/>
          <w:sz w:val="20"/>
          <w:szCs w:val="20"/>
          <w:lang w:val="en-GB"/>
        </w:rPr>
        <w:t xml:space="preserve">of a cell are transmitted in different frequency intervals, i.e., </w:t>
      </w:r>
      <w:r w:rsidRPr="00CF4E9A">
        <w:rPr>
          <w:rFonts w:ascii="Times New Roman" w:hAnsi="Times New Roman"/>
          <w:b/>
          <w:bCs/>
          <w:sz w:val="20"/>
          <w:szCs w:val="20"/>
          <w:lang w:val="en-GB"/>
        </w:rPr>
        <w:t>within their respective BWPs</w:t>
      </w:r>
      <w:r>
        <w:rPr>
          <w:rFonts w:ascii="Times New Roman" w:hAnsi="Times New Roman"/>
          <w:b/>
          <w:bCs/>
          <w:sz w:val="20"/>
          <w:szCs w:val="20"/>
          <w:lang w:val="en-GB"/>
        </w:rPr>
        <w:t>.</w:t>
      </w:r>
    </w:p>
    <w:p w14:paraId="178C8291" w14:textId="77777777" w:rsidR="00A71604" w:rsidRDefault="00A71604" w:rsidP="00A71604">
      <w:pPr>
        <w:pStyle w:val="Heading2"/>
      </w:pPr>
      <w:r>
        <w:t xml:space="preserve">Enhancements on signalling  </w:t>
      </w:r>
    </w:p>
    <w:p w14:paraId="0479BBC9" w14:textId="77777777" w:rsidR="00A71604" w:rsidRDefault="00A71604" w:rsidP="00A71604">
      <w:pPr>
        <w:widowControl w:val="0"/>
        <w:jc w:val="both"/>
      </w:pPr>
      <w:r>
        <w:t>We fist consider SSB arrangement Alt</w:t>
      </w:r>
      <w:r w:rsidRPr="00143F17">
        <w:t>1 (</w:t>
      </w:r>
      <w:r w:rsidRPr="00DF45CA">
        <w:t xml:space="preserve">SSBs are in </w:t>
      </w:r>
      <w:r>
        <w:t>a</w:t>
      </w:r>
      <w:r w:rsidRPr="00DF45CA">
        <w:t xml:space="preserve"> same frequency interval or BWP). In </w:t>
      </w:r>
      <w:r>
        <w:t>Design</w:t>
      </w:r>
      <w:r w:rsidRPr="00DF45CA">
        <w:t xml:space="preserve"> 1, </w:t>
      </w:r>
      <w:r>
        <w:t xml:space="preserve">as shown in Figure 3, </w:t>
      </w:r>
      <w:r w:rsidRPr="00934917">
        <w:t>the</w:t>
      </w:r>
      <w:r>
        <w:t xml:space="preserve"> SSBs</w:t>
      </w:r>
      <w:r w:rsidRPr="00DF45CA">
        <w:t xml:space="preserve"> </w:t>
      </w:r>
      <w:r>
        <w:t xml:space="preserve">are identical (except for the SFN and SSB index), and the configurations of CORESET#0 (and search space zero) in the MIB are the same.  The CORESET#0 leads to the same SIB1 transmission, which provides the initial DL BWP and the initial UL BWP for each of the satellite beams. In Design 2, as shown in Figure 3, the SSBs differ in not only SFN and SSB index but also CORESET#0 configuration. These different CORESET#0 configurations lead the UEs to the CORESET#0’s associated with the respective satellite beams. A PDCCH determined by a CORESET#0 (and search space zero) then schedules a SIB1 transmission, which signals to the UEs the configuration for the initial DL BWP and the initial UL BWP for the satellite beam that transmits the SIB1. The SIB1 transmission may also convey the configuration for the initial DL BWPs and initial UL BWPs, and the CORESET#0’s for other satellite beams. This information is important for mobility handling </w:t>
      </w:r>
      <w:proofErr w:type="gramStart"/>
      <w:r>
        <w:t>later on</w:t>
      </w:r>
      <w:proofErr w:type="gramEnd"/>
      <w:r>
        <w:t xml:space="preserve">, and it is efficient to broadcast it as system information.      </w:t>
      </w:r>
    </w:p>
    <w:p w14:paraId="4D25CFF5" w14:textId="77777777" w:rsidR="00A71604" w:rsidRDefault="00A71604" w:rsidP="00A71604">
      <w:pPr>
        <w:widowControl w:val="0"/>
        <w:jc w:val="both"/>
      </w:pPr>
      <w:r>
        <w:t xml:space="preserve">Design 1 allows for soft combining in decoding the MIB in the SSBs for improved decoding performance. Design 2 transmits a generally smaller amount of information in the SIB1 message to each UE which allows for improved efficiency. </w:t>
      </w:r>
    </w:p>
    <w:p w14:paraId="3EA7BDD9" w14:textId="77777777" w:rsidR="00A71604" w:rsidRDefault="00A71604" w:rsidP="00A71604">
      <w:pPr>
        <w:widowControl w:val="0"/>
        <w:jc w:val="center"/>
      </w:pPr>
      <w:r>
        <w:object w:dxaOrig="11268" w:dyaOrig="6144" w14:anchorId="395C9168">
          <v:shape id="_x0000_i1027" type="#_x0000_t75" style="width:443.4pt;height:241.75pt" o:ole="">
            <v:imagedata r:id="rId12" o:title=""/>
          </v:shape>
          <o:OLEObject Type="Embed" ProgID="Visio.Drawing.15" ShapeID="_x0000_i1027" DrawAspect="Content" ObjectID="_1689749740" r:id="rId13"/>
        </w:object>
      </w:r>
    </w:p>
    <w:p w14:paraId="442B117D" w14:textId="77777777" w:rsidR="00A71604" w:rsidRDefault="00A71604" w:rsidP="00A71604">
      <w:pPr>
        <w:rPr>
          <w:b/>
          <w:bCs/>
        </w:rPr>
      </w:pPr>
      <w:r w:rsidRPr="00E34CA8">
        <w:rPr>
          <w:b/>
          <w:bCs/>
        </w:rPr>
        <w:t xml:space="preserve">Figure </w:t>
      </w:r>
      <w:r>
        <w:rPr>
          <w:b/>
          <w:bCs/>
        </w:rPr>
        <w:t>3</w:t>
      </w:r>
      <w:r w:rsidRPr="00E34CA8">
        <w:rPr>
          <w:b/>
          <w:bCs/>
        </w:rPr>
        <w:t xml:space="preserve">. </w:t>
      </w:r>
      <w:r>
        <w:rPr>
          <w:b/>
          <w:bCs/>
        </w:rPr>
        <w:t xml:space="preserve">Design options for beam-specific configurations for SSB arrangement Alt 1: Design 1, satellite beams are separate in frequency starting from initial BWPs. Design 2, satellite beams are separate in frequency starting from CORSET 0. </w:t>
      </w:r>
    </w:p>
    <w:p w14:paraId="434AB237" w14:textId="77777777" w:rsidR="00A71604" w:rsidRPr="009F5E6C" w:rsidRDefault="00A71604" w:rsidP="00A71604">
      <w:pPr>
        <w:widowControl w:val="0"/>
        <w:jc w:val="both"/>
        <w:rPr>
          <w:rFonts w:eastAsia="Calibri"/>
          <w:color w:val="000000" w:themeColor="text1"/>
          <w:lang w:val="en-GB"/>
        </w:rPr>
      </w:pPr>
      <w:bookmarkStart w:id="5" w:name="_Hlk47715578"/>
      <w:r w:rsidRPr="009F5E6C">
        <w:rPr>
          <w:rFonts w:eastAsia="Calibri"/>
          <w:color w:val="000000" w:themeColor="text1"/>
          <w:lang w:val="en-GB"/>
        </w:rPr>
        <w:t xml:space="preserve">Design 1 has more commonality with existing NR than Design 2. </w:t>
      </w:r>
      <w:r>
        <w:rPr>
          <w:rFonts w:eastAsia="Calibri"/>
          <w:color w:val="000000" w:themeColor="text1"/>
          <w:lang w:val="en-GB"/>
        </w:rPr>
        <w:t xml:space="preserve">Compared to existing NR design, Design 1 requires </w:t>
      </w:r>
      <w:r w:rsidRPr="009F5E6C">
        <w:rPr>
          <w:rFonts w:eastAsia="Calibri"/>
          <w:color w:val="000000" w:themeColor="text1"/>
          <w:lang w:val="en-GB"/>
        </w:rPr>
        <w:t xml:space="preserve">signalling of </w:t>
      </w:r>
      <w:r>
        <w:rPr>
          <w:rFonts w:eastAsia="Calibri"/>
          <w:color w:val="000000" w:themeColor="text1"/>
          <w:lang w:val="en-GB"/>
        </w:rPr>
        <w:t xml:space="preserve">initial BWPs per SSB. </w:t>
      </w:r>
      <w:r w:rsidRPr="009F5E6C">
        <w:rPr>
          <w:rFonts w:eastAsia="Calibri"/>
          <w:color w:val="000000" w:themeColor="text1"/>
          <w:lang w:val="en-GB"/>
        </w:rPr>
        <w:t xml:space="preserve"> </w:t>
      </w:r>
      <w:r>
        <w:rPr>
          <w:rFonts w:eastAsia="Calibri"/>
          <w:color w:val="000000" w:themeColor="text1"/>
          <w:lang w:val="en-GB"/>
        </w:rPr>
        <w:t>For the above reasons, only Design 1 is to be considered.</w:t>
      </w:r>
    </w:p>
    <w:bookmarkEnd w:id="5"/>
    <w:p w14:paraId="23A3BE9A" w14:textId="77777777" w:rsidR="00A71604" w:rsidRPr="00094DE9" w:rsidRDefault="00A71604" w:rsidP="00A71604">
      <w:pPr>
        <w:pStyle w:val="ListParagraph"/>
        <w:widowControl w:val="0"/>
        <w:jc w:val="both"/>
        <w:rPr>
          <w:rFonts w:ascii="Times New Roman" w:hAnsi="Times New Roman"/>
          <w:b/>
          <w:bCs/>
          <w:sz w:val="20"/>
          <w:szCs w:val="20"/>
          <w:lang w:val="en-GB"/>
        </w:rPr>
      </w:pPr>
    </w:p>
    <w:p w14:paraId="5BD3CC85" w14:textId="77777777" w:rsidR="00A71604" w:rsidRDefault="00A71604" w:rsidP="00A71604">
      <w:pPr>
        <w:widowControl w:val="0"/>
        <w:jc w:val="both"/>
      </w:pPr>
      <w:r>
        <w:t>Below, we discuss how to enable beam-specific initial BWPs after initial access. We now consider SSB arrangement Alt</w:t>
      </w:r>
      <w:r w:rsidRPr="00143F17">
        <w:t xml:space="preserve"> </w:t>
      </w:r>
      <w:r>
        <w:t>2</w:t>
      </w:r>
      <w:r w:rsidRPr="00143F17">
        <w:t xml:space="preserve"> (</w:t>
      </w:r>
      <w:r w:rsidRPr="00353AB8">
        <w:t xml:space="preserve">SSBs are in </w:t>
      </w:r>
      <w:r>
        <w:t>different</w:t>
      </w:r>
      <w:r w:rsidRPr="00353AB8">
        <w:t xml:space="preserve"> BWP</w:t>
      </w:r>
      <w:r>
        <w:t>s</w:t>
      </w:r>
      <w:r w:rsidRPr="00353AB8">
        <w:t>).</w:t>
      </w:r>
      <w:r>
        <w:t xml:space="preserve"> As shown in Figure 4, the SSBs are transmitted in different BWPs and the UE can follow the procedure in the existing NR specification to decode the SSB, extract the configuration on CORESET#0 (and search space zero) for its associated satellite beam, decode the PDCCH and receive the SIB1 transmission, which carries not only the configuration for the initial DL BWP and initial UL BWP for the associated satellite beam, but also the initial DL BWPs and initial UL BWPs, and the CORESET#0’s for other satellite beams.</w:t>
      </w:r>
    </w:p>
    <w:p w14:paraId="6759FB75" w14:textId="77777777" w:rsidR="00A71604" w:rsidRDefault="00A71604" w:rsidP="00A71604">
      <w:pPr>
        <w:widowControl w:val="0"/>
        <w:jc w:val="center"/>
      </w:pPr>
      <w:r>
        <w:object w:dxaOrig="11580" w:dyaOrig="2988" w14:anchorId="2F430A90">
          <v:shape id="_x0000_i1028" type="#_x0000_t75" style="width:460.9pt;height:118.2pt" o:ole="">
            <v:imagedata r:id="rId14" o:title=""/>
          </v:shape>
          <o:OLEObject Type="Embed" ProgID="Visio.Drawing.15" ShapeID="_x0000_i1028" DrawAspect="Content" ObjectID="_1689749741" r:id="rId15"/>
        </w:object>
      </w:r>
    </w:p>
    <w:p w14:paraId="02109BFD" w14:textId="77777777" w:rsidR="00A71604" w:rsidRDefault="00A71604" w:rsidP="00A71604">
      <w:pPr>
        <w:rPr>
          <w:b/>
          <w:bCs/>
        </w:rPr>
      </w:pPr>
      <w:r w:rsidRPr="00E34CA8">
        <w:rPr>
          <w:b/>
          <w:bCs/>
        </w:rPr>
        <w:t xml:space="preserve">Figure </w:t>
      </w:r>
      <w:r>
        <w:rPr>
          <w:b/>
          <w:bCs/>
        </w:rPr>
        <w:t>4</w:t>
      </w:r>
      <w:r w:rsidRPr="00E34CA8">
        <w:rPr>
          <w:b/>
          <w:bCs/>
        </w:rPr>
        <w:t xml:space="preserve">. </w:t>
      </w:r>
      <w:r>
        <w:rPr>
          <w:b/>
          <w:bCs/>
        </w:rPr>
        <w:t xml:space="preserve">Design for beam-specific configurations for SSB arrangement Alt 2 (SSBs are in different BWPs): signaling the configurations for initial DL and UL BWPs of all satellite beams and the configuration for CORESET#0’s of other satellite beams. </w:t>
      </w:r>
    </w:p>
    <w:p w14:paraId="523CDC47" w14:textId="77777777" w:rsidR="00A71604" w:rsidRDefault="00A71604" w:rsidP="00A71604">
      <w:pPr>
        <w:rPr>
          <w:lang w:val="en-GB"/>
        </w:rPr>
      </w:pPr>
      <w:r w:rsidRPr="00AA1CE4">
        <w:rPr>
          <w:lang w:val="en-GB"/>
        </w:rPr>
        <w:t xml:space="preserve">The signalling design must support </w:t>
      </w:r>
      <w:proofErr w:type="gramStart"/>
      <w:r w:rsidRPr="00AA1CE4">
        <w:rPr>
          <w:lang w:val="en-GB"/>
        </w:rPr>
        <w:t>both of the SSB</w:t>
      </w:r>
      <w:proofErr w:type="gramEnd"/>
      <w:r w:rsidRPr="00AA1CE4">
        <w:rPr>
          <w:lang w:val="en-GB"/>
        </w:rPr>
        <w:t xml:space="preserve"> arrangements. </w:t>
      </w:r>
      <w:proofErr w:type="gramStart"/>
      <w:r w:rsidRPr="00AA1CE4">
        <w:rPr>
          <w:lang w:val="en-GB"/>
        </w:rPr>
        <w:t>In order for</w:t>
      </w:r>
      <w:proofErr w:type="gramEnd"/>
      <w:r w:rsidRPr="00AA1CE4">
        <w:rPr>
          <w:lang w:val="en-GB"/>
        </w:rPr>
        <w:t xml:space="preserve"> efficient beam switching with reduced signalling overhead, all relevant information including initial DL and UL BWP for the satellite beams are to be made available to all UEs, regardless of the </w:t>
      </w:r>
      <w:r>
        <w:rPr>
          <w:lang w:val="en-GB"/>
        </w:rPr>
        <w:t>SSB arrangement</w:t>
      </w:r>
      <w:r w:rsidRPr="00AA1CE4">
        <w:rPr>
          <w:lang w:val="en-GB"/>
        </w:rPr>
        <w:t xml:space="preserve"> (Alt 1 or Alt2). </w:t>
      </w:r>
    </w:p>
    <w:p w14:paraId="03DB5F73" w14:textId="77777777" w:rsidR="00A71604" w:rsidRDefault="00A71604" w:rsidP="00A71604">
      <w:pPr>
        <w:rPr>
          <w:lang w:val="en-GB"/>
        </w:rPr>
      </w:pPr>
      <w:r>
        <w:rPr>
          <w:lang w:val="en-GB"/>
        </w:rPr>
        <w:t>For both SSB arrangement Atl. 1 and Alt. 2, UE procedure can be summarized by the following steps:</w:t>
      </w:r>
    </w:p>
    <w:p w14:paraId="11E9661E" w14:textId="77777777" w:rsidR="00A71604" w:rsidRPr="000302D6" w:rsidRDefault="00A71604" w:rsidP="00A71604">
      <w:pPr>
        <w:pStyle w:val="ListParagraph"/>
        <w:numPr>
          <w:ilvl w:val="0"/>
          <w:numId w:val="10"/>
        </w:numPr>
        <w:rPr>
          <w:rFonts w:ascii="Times New Roman" w:hAnsi="Times New Roman"/>
          <w:sz w:val="20"/>
          <w:szCs w:val="20"/>
          <w:lang w:val="en-GB"/>
        </w:rPr>
      </w:pPr>
      <w:r w:rsidRPr="000302D6">
        <w:rPr>
          <w:rFonts w:ascii="Times New Roman" w:hAnsi="Times New Roman"/>
          <w:sz w:val="20"/>
          <w:szCs w:val="20"/>
          <w:lang w:val="en-GB"/>
        </w:rPr>
        <w:t xml:space="preserve">UE synchronizes to a first SSB and reads the information of the associated CORSET 0. </w:t>
      </w:r>
    </w:p>
    <w:p w14:paraId="41FF4E3C" w14:textId="77777777" w:rsidR="00A71604" w:rsidRPr="000302D6" w:rsidRDefault="00A71604" w:rsidP="00A71604">
      <w:pPr>
        <w:pStyle w:val="ListParagraph"/>
        <w:numPr>
          <w:ilvl w:val="0"/>
          <w:numId w:val="10"/>
        </w:numPr>
        <w:rPr>
          <w:rFonts w:ascii="Times New Roman" w:hAnsi="Times New Roman"/>
          <w:sz w:val="20"/>
          <w:szCs w:val="20"/>
          <w:lang w:val="en-GB"/>
        </w:rPr>
      </w:pPr>
      <w:r w:rsidRPr="000302D6">
        <w:rPr>
          <w:rFonts w:ascii="Times New Roman" w:hAnsi="Times New Roman"/>
          <w:sz w:val="20"/>
          <w:szCs w:val="20"/>
          <w:lang w:val="en-GB"/>
        </w:rPr>
        <w:t xml:space="preserve">From CORSET 0, UE decodes SIB1 that contains information about initial BWPs of the first SSB </w:t>
      </w:r>
      <w:proofErr w:type="gramStart"/>
      <w:r w:rsidRPr="000302D6">
        <w:rPr>
          <w:rFonts w:ascii="Times New Roman" w:hAnsi="Times New Roman"/>
          <w:sz w:val="20"/>
          <w:szCs w:val="20"/>
          <w:lang w:val="en-GB"/>
        </w:rPr>
        <w:t>and also</w:t>
      </w:r>
      <w:proofErr w:type="gramEnd"/>
      <w:r w:rsidRPr="000302D6">
        <w:rPr>
          <w:rFonts w:ascii="Times New Roman" w:hAnsi="Times New Roman"/>
          <w:sz w:val="20"/>
          <w:szCs w:val="20"/>
          <w:lang w:val="en-GB"/>
        </w:rPr>
        <w:t xml:space="preserve"> others.</w:t>
      </w:r>
    </w:p>
    <w:p w14:paraId="7A693C9E" w14:textId="77777777" w:rsidR="00A71604" w:rsidRDefault="00A71604" w:rsidP="00A71604">
      <w:pPr>
        <w:pStyle w:val="ListParagraph"/>
        <w:numPr>
          <w:ilvl w:val="0"/>
          <w:numId w:val="10"/>
        </w:numPr>
        <w:rPr>
          <w:rFonts w:ascii="Times New Roman" w:hAnsi="Times New Roman"/>
          <w:sz w:val="20"/>
          <w:szCs w:val="20"/>
          <w:lang w:val="en-GB"/>
        </w:rPr>
      </w:pPr>
      <w:r w:rsidRPr="000302D6">
        <w:rPr>
          <w:rFonts w:ascii="Times New Roman" w:hAnsi="Times New Roman"/>
          <w:sz w:val="20"/>
          <w:szCs w:val="20"/>
          <w:lang w:val="en-GB"/>
        </w:rPr>
        <w:t>UE switch</w:t>
      </w:r>
      <w:r>
        <w:rPr>
          <w:rFonts w:ascii="Times New Roman" w:hAnsi="Times New Roman"/>
          <w:sz w:val="20"/>
          <w:szCs w:val="20"/>
          <w:lang w:val="en-GB"/>
        </w:rPr>
        <w:t>es</w:t>
      </w:r>
      <w:r w:rsidRPr="000302D6">
        <w:rPr>
          <w:rFonts w:ascii="Times New Roman" w:hAnsi="Times New Roman"/>
          <w:sz w:val="20"/>
          <w:szCs w:val="20"/>
          <w:lang w:val="en-GB"/>
        </w:rPr>
        <w:t xml:space="preserve"> to the initial BWPs of the first SSB. </w:t>
      </w:r>
    </w:p>
    <w:p w14:paraId="32477E06" w14:textId="77777777" w:rsidR="00A71604" w:rsidRPr="000302D6" w:rsidRDefault="00A71604" w:rsidP="00A71604">
      <w:pPr>
        <w:pStyle w:val="ListParagraph"/>
        <w:rPr>
          <w:rFonts w:ascii="Times New Roman" w:hAnsi="Times New Roman"/>
          <w:sz w:val="20"/>
          <w:szCs w:val="20"/>
          <w:lang w:val="en-GB"/>
        </w:rPr>
      </w:pPr>
    </w:p>
    <w:p w14:paraId="7BBA7322" w14:textId="6CF19C25" w:rsidR="00A71604" w:rsidRPr="00C80E62" w:rsidRDefault="00A71604" w:rsidP="00A71604">
      <w:pPr>
        <w:rPr>
          <w:b/>
          <w:bCs/>
          <w:lang w:val="en-GB"/>
        </w:rPr>
      </w:pPr>
      <w:bookmarkStart w:id="6" w:name="_Hlk47638176"/>
      <w:r w:rsidRPr="00C80E62">
        <w:rPr>
          <w:b/>
          <w:bCs/>
          <w:lang w:val="en-GB"/>
        </w:rPr>
        <w:t xml:space="preserve">Proposal </w:t>
      </w:r>
      <w:r w:rsidR="0074222C">
        <w:rPr>
          <w:b/>
          <w:bCs/>
          <w:lang w:val="en-GB"/>
        </w:rPr>
        <w:t>3</w:t>
      </w:r>
      <w:r w:rsidRPr="00C80E62">
        <w:rPr>
          <w:b/>
          <w:bCs/>
          <w:lang w:val="en-GB"/>
        </w:rPr>
        <w:t>: Support signalling of the following configurations in SIB1</w:t>
      </w:r>
    </w:p>
    <w:p w14:paraId="3ADFE014" w14:textId="77777777" w:rsidR="00A71604" w:rsidRPr="00C80E62" w:rsidRDefault="00A71604" w:rsidP="00A71604">
      <w:pPr>
        <w:pStyle w:val="ListParagraph"/>
        <w:numPr>
          <w:ilvl w:val="0"/>
          <w:numId w:val="9"/>
        </w:numPr>
        <w:rPr>
          <w:rFonts w:ascii="Times New Roman" w:hAnsi="Times New Roman"/>
          <w:b/>
          <w:bCs/>
          <w:sz w:val="20"/>
          <w:szCs w:val="20"/>
          <w:lang w:val="en-GB"/>
        </w:rPr>
      </w:pPr>
      <w:r w:rsidRPr="00C80E62">
        <w:rPr>
          <w:rFonts w:ascii="Times New Roman" w:hAnsi="Times New Roman"/>
          <w:b/>
          <w:bCs/>
          <w:sz w:val="20"/>
          <w:szCs w:val="20"/>
          <w:lang w:val="en-GB"/>
        </w:rPr>
        <w:t>initial BWPs of other satellite beams,</w:t>
      </w:r>
    </w:p>
    <w:p w14:paraId="39A43B81" w14:textId="77777777" w:rsidR="00A71604" w:rsidRPr="00C80E62" w:rsidRDefault="00A71604" w:rsidP="00A71604">
      <w:pPr>
        <w:pStyle w:val="ListParagraph"/>
        <w:numPr>
          <w:ilvl w:val="0"/>
          <w:numId w:val="9"/>
        </w:numPr>
        <w:rPr>
          <w:rFonts w:ascii="Times New Roman" w:hAnsi="Times New Roman"/>
          <w:b/>
          <w:bCs/>
          <w:sz w:val="20"/>
          <w:szCs w:val="20"/>
          <w:lang w:val="en-GB"/>
        </w:rPr>
      </w:pPr>
      <w:r w:rsidRPr="00C80E62">
        <w:rPr>
          <w:rFonts w:ascii="Times New Roman" w:hAnsi="Times New Roman"/>
          <w:b/>
          <w:bCs/>
          <w:sz w:val="20"/>
          <w:szCs w:val="20"/>
          <w:lang w:val="en-GB"/>
        </w:rPr>
        <w:t xml:space="preserve">CORSET#0 of other satellite beams if different from that of the serving beam. </w:t>
      </w:r>
    </w:p>
    <w:bookmarkEnd w:id="6"/>
    <w:p w14:paraId="6C8B8E57" w14:textId="77777777" w:rsidR="00A71604" w:rsidRDefault="00A71604" w:rsidP="00A71604"/>
    <w:p w14:paraId="40E08E93" w14:textId="6C3AB528" w:rsidR="00A71604" w:rsidRPr="00BD30AB" w:rsidRDefault="00A71604" w:rsidP="00B807AD">
      <w:pPr>
        <w:pStyle w:val="Heading1"/>
      </w:pPr>
      <w:r w:rsidRPr="00BD30AB">
        <w:t xml:space="preserve">BWP </w:t>
      </w:r>
      <w:r w:rsidR="00852146">
        <w:t>Switching</w:t>
      </w:r>
    </w:p>
    <w:p w14:paraId="01CA77B2" w14:textId="0C6B311A" w:rsidR="00A71604" w:rsidRDefault="00A71604" w:rsidP="00A71604">
      <w:pPr>
        <w:widowControl w:val="0"/>
        <w:jc w:val="both"/>
      </w:pPr>
      <w:r>
        <w:t xml:space="preserve">A satellite may form many beams, which are mapped to multiple BWPs. Depending on the frequency reuse factor and the beam footprint layout, the number of BWPs in which a UE operates over time may be greater than what is allowed in the current specification. For example, if a UE traverses along the straight line in Figure 5, seven BWPs would need to be defined for that UE, greater than 4, the maximum number of dedicated (DL) BWPs that can be configured for a UE. One way to resolve this issue is to increase the range of BWP ID. </w:t>
      </w:r>
    </w:p>
    <w:p w14:paraId="0747706A" w14:textId="53A33764" w:rsidR="00576158" w:rsidRDefault="00576158" w:rsidP="00A71604">
      <w:pPr>
        <w:widowControl w:val="0"/>
        <w:jc w:val="both"/>
      </w:pPr>
      <w:r>
        <w:rPr>
          <w:noProof/>
        </w:rPr>
        <w:drawing>
          <wp:inline distT="0" distB="0" distL="0" distR="0" wp14:anchorId="3790D1EB" wp14:editId="49D1EF00">
            <wp:extent cx="4659330" cy="1897438"/>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00877" cy="1914357"/>
                    </a:xfrm>
                    <a:prstGeom prst="rect">
                      <a:avLst/>
                    </a:prstGeom>
                    <a:noFill/>
                    <a:ln>
                      <a:noFill/>
                    </a:ln>
                  </pic:spPr>
                </pic:pic>
              </a:graphicData>
            </a:graphic>
          </wp:inline>
        </w:drawing>
      </w:r>
    </w:p>
    <w:p w14:paraId="3B58A31A" w14:textId="3058EA6E" w:rsidR="00E23114" w:rsidRDefault="00E23114" w:rsidP="00E23114">
      <w:pPr>
        <w:rPr>
          <w:b/>
          <w:bCs/>
        </w:rPr>
      </w:pPr>
      <w:r w:rsidRPr="00E34CA8">
        <w:rPr>
          <w:b/>
          <w:bCs/>
        </w:rPr>
        <w:t xml:space="preserve">Figure </w:t>
      </w:r>
      <w:r>
        <w:rPr>
          <w:b/>
          <w:bCs/>
        </w:rPr>
        <w:t>5</w:t>
      </w:r>
      <w:r w:rsidRPr="00E34CA8">
        <w:rPr>
          <w:b/>
          <w:bCs/>
        </w:rPr>
        <w:t xml:space="preserve">. </w:t>
      </w:r>
      <w:r>
        <w:rPr>
          <w:b/>
          <w:bCs/>
        </w:rPr>
        <w:t xml:space="preserve">A UE moves along </w:t>
      </w:r>
      <w:r w:rsidR="00447629">
        <w:rPr>
          <w:b/>
          <w:bCs/>
        </w:rPr>
        <w:t>a</w:t>
      </w:r>
      <w:r>
        <w:rPr>
          <w:b/>
          <w:bCs/>
        </w:rPr>
        <w:t xml:space="preserve"> straight line </w:t>
      </w:r>
      <w:r w:rsidR="00447629">
        <w:rPr>
          <w:b/>
          <w:bCs/>
        </w:rPr>
        <w:t xml:space="preserve">and </w:t>
      </w:r>
      <w:r>
        <w:rPr>
          <w:b/>
          <w:bCs/>
        </w:rPr>
        <w:t xml:space="preserve">traverses 7 BWPs, where each color represents a BWP. </w:t>
      </w:r>
    </w:p>
    <w:p w14:paraId="3F164008" w14:textId="77777777" w:rsidR="00576158" w:rsidRDefault="00576158" w:rsidP="00A71604">
      <w:pPr>
        <w:widowControl w:val="0"/>
        <w:jc w:val="both"/>
      </w:pPr>
    </w:p>
    <w:p w14:paraId="4F5E966B" w14:textId="32665629" w:rsidR="00A71604" w:rsidRDefault="00A71604" w:rsidP="00A71604">
      <w:pPr>
        <w:widowControl w:val="0"/>
        <w:jc w:val="both"/>
      </w:pPr>
      <w:r>
        <w:t xml:space="preserve">A BWP configuration contains many parameters including frequency location and bandwidth, subcarrier spacing, CP duration, CORESETs (for DL), search spaces (for DL), </w:t>
      </w:r>
      <w:proofErr w:type="gramStart"/>
      <w:r>
        <w:t>cell-specific</w:t>
      </w:r>
      <w:proofErr w:type="gramEnd"/>
      <w:r>
        <w:t xml:space="preserve"> PUCCH resources (for UL) and PUSCH (for UL). The signaling overhead of configuring BWPs in NTN may be significantly higher than that in a terrestrial network </w:t>
      </w:r>
      <w:r w:rsidR="00326F43">
        <w:t xml:space="preserve">if </w:t>
      </w:r>
      <w:r>
        <w:t xml:space="preserve">more BWPs to be configured in NTN. However, the beams from the same satellite may provide similar services, and the desired BWP configurations may be similar. For example, the BWPs may be identical except the frequency location. To save on the signaling overhead of BWP configurations, the network can signal the full configuration of only one BWP (referred to as a reference BWP), and then signal only the difference of other BWPs relative to the reference BWP. </w:t>
      </w:r>
    </w:p>
    <w:p w14:paraId="7ABD6DE6" w14:textId="7C052D7C" w:rsidR="00A71604" w:rsidRDefault="00A71604" w:rsidP="00A71604">
      <w:pPr>
        <w:widowControl w:val="0"/>
        <w:jc w:val="both"/>
        <w:rPr>
          <w:rFonts w:eastAsia="Calibri"/>
          <w:b/>
          <w:bCs/>
          <w:lang w:val="en-GB"/>
        </w:rPr>
      </w:pPr>
      <w:r w:rsidRPr="00CF4E9A">
        <w:rPr>
          <w:rFonts w:eastAsia="Calibri"/>
          <w:b/>
          <w:bCs/>
          <w:lang w:val="en-GB"/>
        </w:rPr>
        <w:t xml:space="preserve">Proposal </w:t>
      </w:r>
      <w:r w:rsidR="0074222C">
        <w:rPr>
          <w:rFonts w:eastAsia="Calibri"/>
          <w:b/>
          <w:bCs/>
          <w:lang w:val="en-GB"/>
        </w:rPr>
        <w:t>4</w:t>
      </w:r>
      <w:r w:rsidRPr="00CF4E9A">
        <w:rPr>
          <w:rFonts w:eastAsia="Calibri"/>
          <w:b/>
          <w:bCs/>
          <w:lang w:val="en-GB"/>
        </w:rPr>
        <w:t xml:space="preserve">: </w:t>
      </w:r>
      <w:r>
        <w:rPr>
          <w:rFonts w:eastAsia="Calibri"/>
          <w:b/>
          <w:bCs/>
          <w:lang w:val="en-GB"/>
        </w:rPr>
        <w:t>Consider increasing the number of bits for the BWP ID (</w:t>
      </w:r>
      <w:proofErr w:type="spellStart"/>
      <w:r>
        <w:rPr>
          <w:rFonts w:eastAsia="Calibri"/>
          <w:b/>
          <w:bCs/>
          <w:lang w:val="en-GB"/>
        </w:rPr>
        <w:t>bwp</w:t>
      </w:r>
      <w:proofErr w:type="spellEnd"/>
      <w:r>
        <w:rPr>
          <w:rFonts w:eastAsia="Calibri"/>
          <w:b/>
          <w:bCs/>
          <w:lang w:val="en-GB"/>
        </w:rPr>
        <w:t xml:space="preserve">-Id) </w:t>
      </w:r>
    </w:p>
    <w:p w14:paraId="502DF808" w14:textId="77777777" w:rsidR="00A71604" w:rsidRPr="003D024C" w:rsidRDefault="00A71604" w:rsidP="00A71604">
      <w:pPr>
        <w:pStyle w:val="ListParagraph"/>
        <w:widowControl w:val="0"/>
        <w:numPr>
          <w:ilvl w:val="0"/>
          <w:numId w:val="12"/>
        </w:numPr>
        <w:jc w:val="both"/>
        <w:rPr>
          <w:rFonts w:ascii="Times New Roman" w:hAnsi="Times New Roman"/>
          <w:b/>
          <w:bCs/>
          <w:sz w:val="20"/>
          <w:szCs w:val="20"/>
          <w:lang w:val="en-GB"/>
        </w:rPr>
      </w:pPr>
      <w:r w:rsidRPr="003D024C">
        <w:rPr>
          <w:rFonts w:ascii="Times New Roman" w:hAnsi="Times New Roman"/>
          <w:b/>
          <w:bCs/>
          <w:sz w:val="20"/>
          <w:szCs w:val="20"/>
          <w:lang w:val="en-GB"/>
        </w:rPr>
        <w:t xml:space="preserve">The network can signal the difference between a BWP and a reference BWP to reduce the signalling overhead of BWP configuration. </w:t>
      </w:r>
    </w:p>
    <w:p w14:paraId="0E911EE7" w14:textId="77777777" w:rsidR="00A71604" w:rsidRPr="00434F5B" w:rsidRDefault="00A71604" w:rsidP="00A71604">
      <w:pPr>
        <w:widowControl w:val="0"/>
        <w:jc w:val="both"/>
        <w:rPr>
          <w:lang w:val="en-GB"/>
        </w:rPr>
      </w:pPr>
    </w:p>
    <w:p w14:paraId="354C2F72" w14:textId="77777777" w:rsidR="006128A1" w:rsidRDefault="00A71604" w:rsidP="00A71604">
      <w:pPr>
        <w:widowControl w:val="0"/>
        <w:jc w:val="both"/>
      </w:pPr>
      <w:r>
        <w:t xml:space="preserve">Alternatively, the network can signal a frequency shift and a UE applies the frequency shift to a reference BWP, without changing the other parameters of the BWP. The reference BWP may be configured via RRC signaling. </w:t>
      </w:r>
      <w:proofErr w:type="gramStart"/>
      <w:r>
        <w:t>Also</w:t>
      </w:r>
      <w:proofErr w:type="gramEnd"/>
      <w:r>
        <w:t xml:space="preserve"> </w:t>
      </w:r>
      <w:r w:rsidR="00F413A4">
        <w:t>network</w:t>
      </w:r>
      <w:r>
        <w:t xml:space="preserve"> can </w:t>
      </w:r>
      <w:r w:rsidR="00F413A4">
        <w:t>configure</w:t>
      </w:r>
      <w:r>
        <w:t xml:space="preserve"> a basic unit of frequency shift, denoted as </w:t>
      </w:r>
      <w:r w:rsidRPr="00E4396C">
        <w:rPr>
          <w:lang w:val="el-GR"/>
        </w:rPr>
        <w:t>Δ</w:t>
      </w:r>
      <w:r w:rsidRPr="00E4396C">
        <w:t>f</w:t>
      </w:r>
      <w:r>
        <w:t xml:space="preserve">. The frequency shift (how many units of frequency shift) may be signaled with DCI using a new field or reusing some existing field. For example, </w:t>
      </w:r>
      <w:r w:rsidR="00EE3726">
        <w:t>a value x</w:t>
      </w:r>
      <w:r>
        <w:t xml:space="preserve"> can be </w:t>
      </w:r>
      <w:r w:rsidR="00EE3726">
        <w:t>signaled in the DCI</w:t>
      </w:r>
      <w:r w:rsidR="00651202">
        <w:t xml:space="preserve"> to indicate</w:t>
      </w:r>
      <w:r>
        <w:t xml:space="preserve"> </w:t>
      </w:r>
      <w:r w:rsidR="00651202">
        <w:t>a</w:t>
      </w:r>
      <w:r>
        <w:t xml:space="preserve"> frequency shift </w:t>
      </w:r>
      <w:r w:rsidR="00D86187">
        <w:t xml:space="preserve">value </w:t>
      </w:r>
      <w:r w:rsidR="00651202">
        <w:t>x</w:t>
      </w:r>
      <w:r>
        <w:t>×</w:t>
      </w:r>
      <w:r w:rsidRPr="00E4396C">
        <w:rPr>
          <w:lang w:val="el-GR"/>
        </w:rPr>
        <w:t>Δ</w:t>
      </w:r>
      <w:r w:rsidRPr="00E4396C">
        <w:t>f</w:t>
      </w:r>
      <w:r w:rsidR="00D86187">
        <w:t xml:space="preserve"> to be applied </w:t>
      </w:r>
      <w:r w:rsidR="009B782A">
        <w:t xml:space="preserve">an existing BWP. </w:t>
      </w:r>
      <w:r w:rsidR="00275D36">
        <w:t xml:space="preserve"> </w:t>
      </w:r>
    </w:p>
    <w:p w14:paraId="3FE4BB97" w14:textId="67CBC752" w:rsidR="00A71604" w:rsidRDefault="00B02517" w:rsidP="00A71604">
      <w:pPr>
        <w:widowControl w:val="0"/>
        <w:jc w:val="both"/>
      </w:pPr>
      <w:r>
        <w:rPr>
          <w:b/>
          <w:bCs/>
          <w:i/>
          <w:iCs/>
        </w:rPr>
        <w:t xml:space="preserve">For BWP frequency </w:t>
      </w:r>
      <w:r w:rsidR="006F4B3A">
        <w:rPr>
          <w:b/>
          <w:bCs/>
          <w:i/>
          <w:iCs/>
        </w:rPr>
        <w:t>shift</w:t>
      </w:r>
      <w:r w:rsidR="00275D36" w:rsidRPr="00766A7C">
        <w:rPr>
          <w:b/>
          <w:bCs/>
          <w:i/>
          <w:iCs/>
        </w:rPr>
        <w:t xml:space="preserve">, the network needs to ensure </w:t>
      </w:r>
      <w:r w:rsidR="00A01D66" w:rsidRPr="00766A7C">
        <w:rPr>
          <w:b/>
          <w:bCs/>
          <w:i/>
          <w:iCs/>
        </w:rPr>
        <w:t>that</w:t>
      </w:r>
      <w:r w:rsidR="00450785" w:rsidRPr="00766A7C">
        <w:rPr>
          <w:b/>
          <w:bCs/>
          <w:i/>
          <w:iCs/>
        </w:rPr>
        <w:t xml:space="preserve"> configured resource</w:t>
      </w:r>
      <w:r w:rsidR="00200BE8">
        <w:rPr>
          <w:b/>
          <w:bCs/>
          <w:i/>
          <w:iCs/>
        </w:rPr>
        <w:t>s</w:t>
      </w:r>
      <w:r w:rsidR="00450785" w:rsidRPr="00766A7C">
        <w:rPr>
          <w:b/>
          <w:bCs/>
          <w:i/>
          <w:iCs/>
        </w:rPr>
        <w:t xml:space="preserve"> such as </w:t>
      </w:r>
      <w:r w:rsidR="00200BE8">
        <w:rPr>
          <w:b/>
          <w:bCs/>
          <w:i/>
          <w:iCs/>
        </w:rPr>
        <w:t xml:space="preserve">resources </w:t>
      </w:r>
      <w:r w:rsidR="00450785" w:rsidRPr="00766A7C">
        <w:rPr>
          <w:b/>
          <w:bCs/>
          <w:i/>
          <w:iCs/>
        </w:rPr>
        <w:t xml:space="preserve">for SPS and PUCCH </w:t>
      </w:r>
      <w:r w:rsidR="000D5A4D" w:rsidRPr="00766A7C">
        <w:rPr>
          <w:b/>
          <w:bCs/>
          <w:i/>
          <w:iCs/>
        </w:rPr>
        <w:t>and reference signals such as CSI-RS</w:t>
      </w:r>
      <w:r w:rsidR="00B45205" w:rsidRPr="00766A7C">
        <w:rPr>
          <w:b/>
          <w:bCs/>
          <w:i/>
          <w:iCs/>
        </w:rPr>
        <w:t xml:space="preserve"> </w:t>
      </w:r>
      <w:r w:rsidR="002343FC">
        <w:rPr>
          <w:b/>
          <w:bCs/>
          <w:i/>
          <w:iCs/>
        </w:rPr>
        <w:t xml:space="preserve">still </w:t>
      </w:r>
      <w:r w:rsidR="000908AF" w:rsidRPr="00766A7C">
        <w:rPr>
          <w:b/>
          <w:bCs/>
          <w:i/>
          <w:iCs/>
        </w:rPr>
        <w:t xml:space="preserve">work without conflicts </w:t>
      </w:r>
      <w:r w:rsidR="00B45205" w:rsidRPr="00766A7C">
        <w:rPr>
          <w:b/>
          <w:bCs/>
          <w:i/>
          <w:iCs/>
        </w:rPr>
        <w:t xml:space="preserve">in the </w:t>
      </w:r>
      <w:r w:rsidR="000B35D0" w:rsidRPr="00766A7C">
        <w:rPr>
          <w:b/>
          <w:bCs/>
          <w:i/>
          <w:iCs/>
        </w:rPr>
        <w:t xml:space="preserve">new BWP after frequency </w:t>
      </w:r>
      <w:r w:rsidR="006F4B3A">
        <w:rPr>
          <w:b/>
          <w:bCs/>
          <w:i/>
          <w:iCs/>
        </w:rPr>
        <w:t>shift</w:t>
      </w:r>
      <w:r w:rsidR="000B35D0" w:rsidRPr="00766A7C">
        <w:rPr>
          <w:b/>
          <w:bCs/>
          <w:i/>
          <w:iCs/>
        </w:rPr>
        <w:t>.</w:t>
      </w:r>
      <w:r w:rsidR="00432D26" w:rsidRPr="00766A7C">
        <w:rPr>
          <w:b/>
          <w:bCs/>
          <w:i/>
          <w:iCs/>
        </w:rPr>
        <w:t xml:space="preserve"> </w:t>
      </w:r>
      <w:r w:rsidR="00432D26" w:rsidRPr="005D76FD">
        <w:t>This may</w:t>
      </w:r>
      <w:r w:rsidR="008B57D5">
        <w:t xml:space="preserve"> or may not impose some constraints on network resource allocation and scheduling</w:t>
      </w:r>
      <w:r w:rsidR="00C866D2">
        <w:t xml:space="preserve"> </w:t>
      </w:r>
      <w:r w:rsidR="00432D26" w:rsidRPr="005D76FD">
        <w:t xml:space="preserve">depending on network load and </w:t>
      </w:r>
      <w:r w:rsidR="00802651">
        <w:t xml:space="preserve">the </w:t>
      </w:r>
      <w:r w:rsidR="003E3FE6" w:rsidRPr="005D76FD">
        <w:t>type</w:t>
      </w:r>
      <w:r w:rsidR="00802651">
        <w:t xml:space="preserve"> of</w:t>
      </w:r>
      <w:r w:rsidR="003E3FE6" w:rsidRPr="005D76FD">
        <w:t xml:space="preserve"> </w:t>
      </w:r>
      <w:r w:rsidR="00766A7C" w:rsidRPr="005D76FD">
        <w:t xml:space="preserve">services </w:t>
      </w:r>
      <w:r w:rsidR="003E3FE6" w:rsidRPr="005D76FD">
        <w:t>of</w:t>
      </w:r>
      <w:r w:rsidR="00766A7C" w:rsidRPr="005D76FD">
        <w:t xml:space="preserve"> a</w:t>
      </w:r>
      <w:r w:rsidR="003E3FE6" w:rsidRPr="005D76FD">
        <w:t xml:space="preserve"> UE</w:t>
      </w:r>
      <w:r w:rsidR="00766A7C" w:rsidRPr="005D76FD">
        <w:t>.</w:t>
      </w:r>
      <w:r w:rsidR="005D76FD">
        <w:t xml:space="preserve"> </w:t>
      </w:r>
      <w:r w:rsidR="00345BDC">
        <w:t>Whenever the</w:t>
      </w:r>
      <w:r w:rsidR="00CC72A6">
        <w:t xml:space="preserve"> BWP</w:t>
      </w:r>
      <w:r w:rsidR="00345BDC">
        <w:t xml:space="preserve"> </w:t>
      </w:r>
      <w:r w:rsidR="00EB50A3">
        <w:t xml:space="preserve">configurations </w:t>
      </w:r>
      <w:r w:rsidR="00CC72A6">
        <w:t>can apply in different frequency intervals</w:t>
      </w:r>
      <w:r w:rsidR="005D76FD">
        <w:t xml:space="preserve">, </w:t>
      </w:r>
      <w:r w:rsidR="007E00A7">
        <w:t xml:space="preserve">BWP </w:t>
      </w:r>
      <w:r w:rsidR="004A39F1">
        <w:t xml:space="preserve">switching through </w:t>
      </w:r>
      <w:r w:rsidR="007E00A7">
        <w:t xml:space="preserve">frequency </w:t>
      </w:r>
      <w:r w:rsidR="003856F1">
        <w:t xml:space="preserve">shift </w:t>
      </w:r>
      <w:r w:rsidR="007E00A7">
        <w:t xml:space="preserve">can be </w:t>
      </w:r>
      <w:r w:rsidR="004A39F1">
        <w:t xml:space="preserve">an efficient </w:t>
      </w:r>
      <w:r w:rsidR="00D64EB1">
        <w:t>tool to support scheduled</w:t>
      </w:r>
      <w:r w:rsidR="00D069E5">
        <w:t>/configured satellite beam switch.</w:t>
      </w:r>
    </w:p>
    <w:p w14:paraId="44FD68CC" w14:textId="63F1FD5E" w:rsidR="00A71604" w:rsidRDefault="00A71604" w:rsidP="00A71604">
      <w:pPr>
        <w:rPr>
          <w:b/>
          <w:bCs/>
        </w:rPr>
      </w:pPr>
    </w:p>
    <w:p w14:paraId="48AA24E3" w14:textId="677EA708" w:rsidR="00A71604" w:rsidRDefault="00A71604" w:rsidP="00A71604">
      <w:pPr>
        <w:widowControl w:val="0"/>
        <w:jc w:val="both"/>
        <w:rPr>
          <w:rFonts w:eastAsia="Calibri"/>
          <w:b/>
          <w:bCs/>
          <w:lang w:val="en-GB"/>
        </w:rPr>
      </w:pPr>
      <w:bookmarkStart w:id="7" w:name="_Hlk47638234"/>
      <w:r w:rsidRPr="00CF4E9A">
        <w:rPr>
          <w:rFonts w:eastAsia="Calibri"/>
          <w:b/>
          <w:bCs/>
          <w:lang w:val="en-GB"/>
        </w:rPr>
        <w:t xml:space="preserve">Proposal </w:t>
      </w:r>
      <w:r w:rsidR="0074222C">
        <w:rPr>
          <w:rFonts w:eastAsia="Calibri"/>
          <w:b/>
          <w:bCs/>
          <w:lang w:val="en-GB"/>
        </w:rPr>
        <w:t>5</w:t>
      </w:r>
      <w:r w:rsidRPr="00CF4E9A">
        <w:rPr>
          <w:rFonts w:eastAsia="Calibri"/>
          <w:b/>
          <w:bCs/>
          <w:lang w:val="en-GB"/>
        </w:rPr>
        <w:t xml:space="preserve">: </w:t>
      </w:r>
      <w:r w:rsidR="003C6C07">
        <w:rPr>
          <w:rFonts w:eastAsia="Calibri"/>
          <w:b/>
          <w:bCs/>
          <w:lang w:val="en-GB"/>
        </w:rPr>
        <w:t>Support</w:t>
      </w:r>
      <w:r>
        <w:rPr>
          <w:rFonts w:eastAsia="Calibri"/>
          <w:b/>
          <w:bCs/>
          <w:lang w:val="en-GB"/>
        </w:rPr>
        <w:t xml:space="preserve"> BWP </w:t>
      </w:r>
      <w:r w:rsidR="005546E4">
        <w:rPr>
          <w:rFonts w:eastAsia="Calibri"/>
          <w:b/>
          <w:bCs/>
          <w:lang w:val="en-GB"/>
        </w:rPr>
        <w:t xml:space="preserve">frequency </w:t>
      </w:r>
      <w:r w:rsidR="00CC72A6">
        <w:rPr>
          <w:rFonts w:eastAsia="Calibri"/>
          <w:b/>
          <w:bCs/>
          <w:lang w:val="en-GB"/>
        </w:rPr>
        <w:t>shift</w:t>
      </w:r>
      <w:r w:rsidR="000F5F59">
        <w:rPr>
          <w:rFonts w:eastAsia="Calibri"/>
          <w:b/>
          <w:bCs/>
          <w:lang w:val="en-GB"/>
        </w:rPr>
        <w:t xml:space="preserve"> </w:t>
      </w:r>
      <w:r w:rsidR="00613BF2">
        <w:rPr>
          <w:rFonts w:eastAsia="Calibri"/>
          <w:b/>
          <w:bCs/>
          <w:lang w:val="en-GB"/>
        </w:rPr>
        <w:t xml:space="preserve">through DCI </w:t>
      </w:r>
      <w:r w:rsidR="00B802F6">
        <w:rPr>
          <w:rFonts w:eastAsia="Calibri"/>
          <w:b/>
          <w:bCs/>
          <w:lang w:val="en-GB"/>
        </w:rPr>
        <w:t xml:space="preserve">and/or </w:t>
      </w:r>
      <w:r w:rsidR="00C04128">
        <w:rPr>
          <w:rFonts w:eastAsia="Calibri"/>
          <w:b/>
          <w:bCs/>
          <w:lang w:val="en-GB"/>
        </w:rPr>
        <w:t>configuration</w:t>
      </w:r>
      <w:r w:rsidR="003C6C07">
        <w:rPr>
          <w:rFonts w:eastAsia="Calibri"/>
          <w:b/>
          <w:bCs/>
          <w:lang w:val="en-GB"/>
        </w:rPr>
        <w:t>.</w:t>
      </w:r>
    </w:p>
    <w:p w14:paraId="11A03F2A" w14:textId="64ECC7D8" w:rsidR="003C6C07" w:rsidRDefault="003C6C07" w:rsidP="00A71604">
      <w:pPr>
        <w:widowControl w:val="0"/>
        <w:jc w:val="both"/>
        <w:rPr>
          <w:rFonts w:eastAsia="Calibri"/>
          <w:b/>
          <w:bCs/>
          <w:lang w:val="en-GB"/>
        </w:rPr>
      </w:pPr>
      <w:r>
        <w:rPr>
          <w:rFonts w:eastAsia="Calibri"/>
          <w:b/>
          <w:bCs/>
          <w:lang w:val="en-GB"/>
        </w:rPr>
        <w:t xml:space="preserve">Proposal </w:t>
      </w:r>
      <w:r w:rsidR="0074222C">
        <w:rPr>
          <w:rFonts w:eastAsia="Calibri"/>
          <w:b/>
          <w:bCs/>
          <w:lang w:val="en-GB"/>
        </w:rPr>
        <w:t>6</w:t>
      </w:r>
      <w:r>
        <w:rPr>
          <w:rFonts w:eastAsia="Calibri"/>
          <w:b/>
          <w:bCs/>
          <w:lang w:val="en-GB"/>
        </w:rPr>
        <w:t xml:space="preserve">: </w:t>
      </w:r>
      <w:r w:rsidR="00536638">
        <w:rPr>
          <w:rFonts w:eastAsia="Calibri"/>
          <w:b/>
          <w:bCs/>
          <w:lang w:val="en-GB"/>
        </w:rPr>
        <w:t xml:space="preserve">Support RRC configuration to indicate </w:t>
      </w:r>
      <w:r w:rsidR="00E77F02">
        <w:rPr>
          <w:rFonts w:eastAsia="Calibri"/>
          <w:b/>
          <w:bCs/>
          <w:lang w:val="en-GB"/>
        </w:rPr>
        <w:t xml:space="preserve">BWP switching through DCI by either BWP ID or </w:t>
      </w:r>
      <w:r w:rsidR="00442A9A">
        <w:rPr>
          <w:rFonts w:eastAsia="Calibri"/>
          <w:b/>
          <w:bCs/>
          <w:lang w:val="en-GB"/>
        </w:rPr>
        <w:t>BWP frequency hopping</w:t>
      </w:r>
      <w:r w:rsidR="00E77F02">
        <w:rPr>
          <w:rFonts w:eastAsia="Calibri"/>
          <w:b/>
          <w:bCs/>
          <w:lang w:val="en-GB"/>
        </w:rPr>
        <w:t xml:space="preserve">. </w:t>
      </w:r>
    </w:p>
    <w:p w14:paraId="4255FCF2" w14:textId="17147E7E" w:rsidR="00A71604" w:rsidRDefault="00A71604" w:rsidP="003C6C07">
      <w:pPr>
        <w:pStyle w:val="ListParagraph"/>
        <w:widowControl w:val="0"/>
        <w:jc w:val="both"/>
        <w:rPr>
          <w:b/>
          <w:bCs/>
          <w:lang w:val="en-GB"/>
        </w:rPr>
      </w:pPr>
    </w:p>
    <w:bookmarkEnd w:id="7"/>
    <w:p w14:paraId="4AF6D8A5" w14:textId="2EA3E291" w:rsidR="00A71604" w:rsidRDefault="00A71604" w:rsidP="00A71604">
      <w:pPr>
        <w:widowControl w:val="0"/>
        <w:jc w:val="both"/>
      </w:pPr>
      <w:r>
        <w:t xml:space="preserve">To help the network decide on the best BWP or satellite beam for a UE to switch to, it is important that the UE measures the quality of its current serving satellite beam and neighboring satellite beams and reports the measurements back to the network. </w:t>
      </w:r>
      <w:r w:rsidR="00282B6B">
        <w:t>Frequ</w:t>
      </w:r>
      <w:r w:rsidR="006A5CF0">
        <w:t xml:space="preserve">ent satellite beam switching leads to frequent reconfiguration of </w:t>
      </w:r>
      <w:r w:rsidR="00693906">
        <w:t>reference signal</w:t>
      </w:r>
      <w:r w:rsidR="00C46E48">
        <w:t xml:space="preserve">s </w:t>
      </w:r>
      <w:r w:rsidR="00693906">
        <w:t xml:space="preserve">for radio link measurement. </w:t>
      </w:r>
      <w:r>
        <w:t xml:space="preserve">Because the measurement </w:t>
      </w:r>
      <w:r w:rsidR="003E60DD">
        <w:t xml:space="preserve">of a neighboring satellite beam </w:t>
      </w:r>
      <w:r w:rsidR="00284F89">
        <w:t xml:space="preserve">may </w:t>
      </w:r>
      <w:r w:rsidR="00790F96">
        <w:t>need to be performed</w:t>
      </w:r>
      <w:r>
        <w:t xml:space="preserve"> in a BWP that is different from the </w:t>
      </w:r>
      <w:r w:rsidR="00BE2B1A">
        <w:t xml:space="preserve">active </w:t>
      </w:r>
      <w:r>
        <w:t xml:space="preserve">BWP, extra time is needed for frequency retuning and preparation for the frequency compensation and it is beneficial to minimize the measurement overhead. </w:t>
      </w:r>
    </w:p>
    <w:p w14:paraId="7AE215F8" w14:textId="3BE4CE92" w:rsidR="00A71604" w:rsidRDefault="00A71604" w:rsidP="00A71604">
      <w:pPr>
        <w:widowControl w:val="0"/>
        <w:jc w:val="both"/>
      </w:pPr>
      <w:bookmarkStart w:id="8" w:name="_Hlk47638264"/>
      <w:r w:rsidRPr="00CF4E9A">
        <w:rPr>
          <w:rFonts w:eastAsia="Calibri"/>
          <w:b/>
          <w:bCs/>
          <w:lang w:val="en-GB"/>
        </w:rPr>
        <w:t xml:space="preserve">Proposal </w:t>
      </w:r>
      <w:r w:rsidR="0074222C">
        <w:rPr>
          <w:rFonts w:eastAsia="Calibri"/>
          <w:b/>
          <w:bCs/>
          <w:lang w:val="en-GB"/>
        </w:rPr>
        <w:t>7</w:t>
      </w:r>
      <w:r w:rsidRPr="00CF4E9A">
        <w:rPr>
          <w:rFonts w:eastAsia="Calibri"/>
          <w:b/>
          <w:bCs/>
          <w:lang w:val="en-GB"/>
        </w:rPr>
        <w:t xml:space="preserve">: </w:t>
      </w:r>
      <w:r>
        <w:rPr>
          <w:rFonts w:eastAsia="Calibri"/>
          <w:b/>
          <w:bCs/>
          <w:lang w:val="en-GB"/>
        </w:rPr>
        <w:t xml:space="preserve">Consider enhancements on </w:t>
      </w:r>
      <w:r w:rsidR="00AD1C2A">
        <w:rPr>
          <w:rFonts w:eastAsia="Calibri"/>
          <w:b/>
          <w:bCs/>
          <w:lang w:val="en-GB"/>
        </w:rPr>
        <w:t xml:space="preserve">radio link monitoring </w:t>
      </w:r>
      <w:r>
        <w:rPr>
          <w:rFonts w:eastAsia="Calibri"/>
          <w:b/>
          <w:bCs/>
          <w:lang w:val="en-GB"/>
        </w:rPr>
        <w:t xml:space="preserve">to support efficient </w:t>
      </w:r>
      <w:r w:rsidR="007039C7">
        <w:rPr>
          <w:rFonts w:eastAsia="Calibri"/>
          <w:b/>
          <w:bCs/>
          <w:lang w:val="en-GB"/>
        </w:rPr>
        <w:t xml:space="preserve">reference resource configuration and measurement outside the active BWP. </w:t>
      </w:r>
      <w:bookmarkEnd w:id="8"/>
    </w:p>
    <w:p w14:paraId="4E71B7BD" w14:textId="77777777" w:rsidR="00A71604" w:rsidRPr="00DF45CA" w:rsidRDefault="00A71604" w:rsidP="00A71604">
      <w:pPr>
        <w:widowControl w:val="0"/>
        <w:jc w:val="both"/>
        <w:rPr>
          <w:rFonts w:eastAsia="Calibri"/>
          <w:b/>
          <w:bCs/>
        </w:rPr>
      </w:pPr>
    </w:p>
    <w:p w14:paraId="357230C2" w14:textId="5495E598" w:rsidR="00A71604" w:rsidRDefault="00A91086" w:rsidP="00A91086">
      <w:pPr>
        <w:pStyle w:val="Heading1"/>
      </w:pPr>
      <w:r>
        <w:t>NTN Specific SIB</w:t>
      </w:r>
    </w:p>
    <w:p w14:paraId="7199CB56" w14:textId="71854B35" w:rsidR="0039410F" w:rsidRDefault="002E4129" w:rsidP="0039410F">
      <w:pPr>
        <w:widowControl w:val="0"/>
        <w:jc w:val="both"/>
        <w:rPr>
          <w:rFonts w:eastAsia="Calibri"/>
          <w:lang w:val="en-GB"/>
        </w:rPr>
      </w:pPr>
      <w:r w:rsidRPr="00236555">
        <w:rPr>
          <w:rFonts w:eastAsia="Calibri"/>
          <w:lang w:val="en-GB"/>
        </w:rPr>
        <w:t xml:space="preserve">Ephemeris and feeder link </w:t>
      </w:r>
      <w:r w:rsidR="006C10E3" w:rsidRPr="00236555">
        <w:rPr>
          <w:rFonts w:eastAsia="Calibri"/>
          <w:lang w:val="en-GB"/>
        </w:rPr>
        <w:t>common timing offset</w:t>
      </w:r>
      <w:r w:rsidRPr="00236555">
        <w:rPr>
          <w:rFonts w:eastAsia="Calibri"/>
          <w:lang w:val="en-GB"/>
        </w:rPr>
        <w:t xml:space="preserve"> with and without </w:t>
      </w:r>
      <w:r w:rsidR="006C10E3" w:rsidRPr="00236555">
        <w:rPr>
          <w:rFonts w:eastAsia="Calibri"/>
          <w:lang w:val="en-GB"/>
        </w:rPr>
        <w:t xml:space="preserve">timing drift </w:t>
      </w:r>
      <w:r w:rsidR="00D25446" w:rsidRPr="00236555">
        <w:rPr>
          <w:rFonts w:eastAsia="Calibri"/>
          <w:lang w:val="en-GB"/>
        </w:rPr>
        <w:t>rate</w:t>
      </w:r>
      <w:r w:rsidR="00EC68D4" w:rsidRPr="00236555">
        <w:rPr>
          <w:rFonts w:eastAsia="Calibri"/>
          <w:lang w:val="en-GB"/>
        </w:rPr>
        <w:t xml:space="preserve"> are </w:t>
      </w:r>
      <w:r w:rsidR="00BD421C" w:rsidRPr="00236555">
        <w:rPr>
          <w:rFonts w:eastAsia="Calibri"/>
          <w:lang w:val="en-GB"/>
        </w:rPr>
        <w:t xml:space="preserve">essential for initial access and need to be updated </w:t>
      </w:r>
      <w:r w:rsidR="007F3584">
        <w:rPr>
          <w:rFonts w:eastAsia="Calibri"/>
          <w:lang w:val="en-GB"/>
        </w:rPr>
        <w:t xml:space="preserve">by the network </w:t>
      </w:r>
      <w:r w:rsidR="00C83501">
        <w:rPr>
          <w:rFonts w:eastAsia="Calibri"/>
          <w:lang w:val="en-GB"/>
        </w:rPr>
        <w:t>and read by UE</w:t>
      </w:r>
      <w:r w:rsidR="0097276E">
        <w:rPr>
          <w:rFonts w:eastAsia="Calibri"/>
          <w:lang w:val="en-GB"/>
        </w:rPr>
        <w:t>s</w:t>
      </w:r>
      <w:r w:rsidR="00C83501">
        <w:rPr>
          <w:rFonts w:eastAsia="Calibri"/>
          <w:lang w:val="en-GB"/>
        </w:rPr>
        <w:t xml:space="preserve"> </w:t>
      </w:r>
      <w:r w:rsidR="00847C6F">
        <w:rPr>
          <w:rFonts w:eastAsia="Calibri"/>
          <w:lang w:val="en-GB"/>
        </w:rPr>
        <w:t xml:space="preserve">in a periodic </w:t>
      </w:r>
      <w:r w:rsidR="00EE6B23">
        <w:rPr>
          <w:rFonts w:eastAsia="Calibri"/>
          <w:lang w:val="en-GB"/>
        </w:rPr>
        <w:t xml:space="preserve">or quasi-periodical </w:t>
      </w:r>
      <w:r w:rsidR="00847C6F">
        <w:rPr>
          <w:rFonts w:eastAsia="Calibri"/>
          <w:lang w:val="en-GB"/>
        </w:rPr>
        <w:t>fashion.</w:t>
      </w:r>
      <w:r w:rsidR="0097276E">
        <w:rPr>
          <w:rFonts w:eastAsia="Calibri"/>
          <w:lang w:val="en-GB"/>
        </w:rPr>
        <w:t xml:space="preserve"> </w:t>
      </w:r>
      <w:r w:rsidR="001F72BB">
        <w:rPr>
          <w:rFonts w:eastAsia="Calibri"/>
          <w:lang w:val="en-GB"/>
        </w:rPr>
        <w:t xml:space="preserve">The gap of the two consecutive transmissions of the </w:t>
      </w:r>
      <w:r w:rsidR="0049539B">
        <w:rPr>
          <w:rFonts w:eastAsia="Calibri"/>
          <w:lang w:val="en-GB"/>
        </w:rPr>
        <w:t xml:space="preserve">above two will have impact on </w:t>
      </w:r>
      <w:r w:rsidR="00EE6B23">
        <w:rPr>
          <w:rFonts w:eastAsia="Calibri"/>
          <w:lang w:val="en-GB"/>
        </w:rPr>
        <w:t xml:space="preserve">the </w:t>
      </w:r>
      <w:r w:rsidR="0049539B">
        <w:rPr>
          <w:rFonts w:eastAsia="Calibri"/>
          <w:lang w:val="en-GB"/>
        </w:rPr>
        <w:t xml:space="preserve">initial access delay. </w:t>
      </w:r>
      <w:r w:rsidR="00670901">
        <w:rPr>
          <w:rFonts w:eastAsia="Calibri"/>
          <w:lang w:val="en-GB"/>
        </w:rPr>
        <w:t xml:space="preserve">Hence it is convenient to </w:t>
      </w:r>
      <w:r w:rsidR="00BF590B">
        <w:rPr>
          <w:rFonts w:eastAsia="Calibri"/>
          <w:lang w:val="en-GB"/>
        </w:rPr>
        <w:t xml:space="preserve">signal the above two </w:t>
      </w:r>
      <w:r w:rsidR="009B0073">
        <w:rPr>
          <w:rFonts w:eastAsia="Calibri"/>
          <w:lang w:val="en-GB"/>
        </w:rPr>
        <w:t>together in one</w:t>
      </w:r>
      <w:r w:rsidR="005257F0">
        <w:rPr>
          <w:rFonts w:eastAsia="Calibri"/>
          <w:lang w:val="en-GB"/>
        </w:rPr>
        <w:t xml:space="preserve"> </w:t>
      </w:r>
      <w:r w:rsidR="00BF590B">
        <w:rPr>
          <w:rFonts w:eastAsia="Calibri"/>
          <w:lang w:val="en-GB"/>
        </w:rPr>
        <w:t>SIB</w:t>
      </w:r>
      <w:r w:rsidR="009B0073">
        <w:rPr>
          <w:rFonts w:eastAsia="Calibri"/>
          <w:lang w:val="en-GB"/>
        </w:rPr>
        <w:t xml:space="preserve"> or separately in two SIBs</w:t>
      </w:r>
      <w:r w:rsidR="006B0AF9">
        <w:rPr>
          <w:rFonts w:eastAsia="Calibri"/>
          <w:lang w:val="en-GB"/>
        </w:rPr>
        <w:t xml:space="preserve"> specific to NTN</w:t>
      </w:r>
      <w:r w:rsidR="00BF590B">
        <w:rPr>
          <w:rFonts w:eastAsia="Calibri"/>
          <w:lang w:val="en-GB"/>
        </w:rPr>
        <w:t>.</w:t>
      </w:r>
      <w:r w:rsidR="00330DFC">
        <w:rPr>
          <w:rFonts w:eastAsia="Calibri"/>
          <w:lang w:val="en-GB"/>
        </w:rPr>
        <w:t xml:space="preserve"> </w:t>
      </w:r>
      <w:r w:rsidR="00E63FAC">
        <w:rPr>
          <w:rFonts w:eastAsia="Calibri"/>
          <w:lang w:val="en-GB"/>
        </w:rPr>
        <w:t>A general model of the</w:t>
      </w:r>
      <w:r w:rsidR="003A366E">
        <w:rPr>
          <w:rFonts w:eastAsia="Calibri"/>
          <w:lang w:val="en-GB"/>
        </w:rPr>
        <w:t xml:space="preserve"> time arrangement of </w:t>
      </w:r>
      <w:r w:rsidR="002004F5">
        <w:rPr>
          <w:rFonts w:eastAsia="Calibri"/>
          <w:lang w:val="en-GB"/>
        </w:rPr>
        <w:t>the</w:t>
      </w:r>
      <w:r w:rsidR="00E63FAC">
        <w:rPr>
          <w:rFonts w:eastAsia="Calibri"/>
          <w:lang w:val="en-GB"/>
        </w:rPr>
        <w:t xml:space="preserve"> </w:t>
      </w:r>
      <w:r w:rsidR="002004F5">
        <w:rPr>
          <w:rFonts w:eastAsia="Calibri"/>
          <w:lang w:val="en-GB"/>
        </w:rPr>
        <w:t xml:space="preserve">transmission of </w:t>
      </w:r>
      <w:r w:rsidR="00B043F3">
        <w:rPr>
          <w:rFonts w:eastAsia="Calibri"/>
          <w:lang w:val="en-GB"/>
        </w:rPr>
        <w:t>the NTN specific SIB</w:t>
      </w:r>
      <w:r w:rsidR="00EC214E">
        <w:rPr>
          <w:rFonts w:eastAsia="Calibri"/>
          <w:lang w:val="en-GB"/>
        </w:rPr>
        <w:t>(s)</w:t>
      </w:r>
      <w:r w:rsidR="00B043F3">
        <w:rPr>
          <w:rFonts w:eastAsia="Calibri"/>
          <w:lang w:val="en-GB"/>
        </w:rPr>
        <w:t xml:space="preserve"> may look</w:t>
      </w:r>
      <w:r w:rsidR="00EF24ED">
        <w:rPr>
          <w:rFonts w:eastAsia="Calibri"/>
          <w:lang w:val="en-GB"/>
        </w:rPr>
        <w:t xml:space="preserve"> like illustrated below.</w:t>
      </w:r>
    </w:p>
    <w:p w14:paraId="455FB1C2" w14:textId="77777777" w:rsidR="00EF24ED" w:rsidRDefault="00EF24ED" w:rsidP="00EF24ED">
      <w:pPr>
        <w:keepNext/>
        <w:widowControl w:val="0"/>
        <w:jc w:val="both"/>
      </w:pPr>
      <w:r>
        <w:object w:dxaOrig="9866" w:dyaOrig="2641" w14:anchorId="0A9859A1">
          <v:shape id="_x0000_i1029" type="#_x0000_t75" style="width:437.05pt;height:117pt" o:ole="">
            <v:imagedata r:id="rId17" o:title=""/>
          </v:shape>
          <o:OLEObject Type="Embed" ProgID="Visio.Drawing.15" ShapeID="_x0000_i1029" DrawAspect="Content" ObjectID="_1689749742" r:id="rId18"/>
        </w:object>
      </w:r>
    </w:p>
    <w:p w14:paraId="54549009" w14:textId="3C532909" w:rsidR="00EF24ED" w:rsidRDefault="00EF24ED" w:rsidP="00253DD2">
      <w:pPr>
        <w:pStyle w:val="Caption"/>
        <w:jc w:val="center"/>
        <w:rPr>
          <w:rFonts w:eastAsia="Calibri"/>
          <w:lang w:val="en-GB"/>
        </w:rPr>
      </w:pPr>
      <w:r>
        <w:t xml:space="preserve">Figure 6. </w:t>
      </w:r>
      <w:r w:rsidR="00A96795">
        <w:t>Time arrangement of the transmission of NTN specific SIB(s).</w:t>
      </w:r>
    </w:p>
    <w:p w14:paraId="200A94A3" w14:textId="63BA2AC2" w:rsidR="00EF24ED" w:rsidRDefault="00253DD2" w:rsidP="0039410F">
      <w:pPr>
        <w:widowControl w:val="0"/>
        <w:jc w:val="both"/>
        <w:rPr>
          <w:rFonts w:eastAsia="Calibri"/>
          <w:lang w:val="en-GB"/>
        </w:rPr>
      </w:pPr>
      <w:r>
        <w:rPr>
          <w:rFonts w:eastAsia="Calibri"/>
          <w:lang w:val="en-GB"/>
        </w:rPr>
        <w:t>For ephemeris</w:t>
      </w:r>
      <w:r w:rsidR="003A31FD">
        <w:rPr>
          <w:rFonts w:eastAsia="Calibri"/>
          <w:lang w:val="en-GB"/>
        </w:rPr>
        <w:t xml:space="preserve">, the </w:t>
      </w:r>
      <w:r w:rsidR="00397CC7">
        <w:rPr>
          <w:rFonts w:eastAsia="Calibri"/>
          <w:lang w:val="en-GB"/>
        </w:rPr>
        <w:t xml:space="preserve">epoch time </w:t>
      </w:r>
      <w:r w:rsidR="00B85999">
        <w:rPr>
          <w:rFonts w:eastAsia="Calibri"/>
          <w:lang w:val="en-GB"/>
        </w:rPr>
        <w:t xml:space="preserve">at </w:t>
      </w:r>
      <w:proofErr w:type="gramStart"/>
      <w:r w:rsidR="00B85999">
        <w:rPr>
          <w:rFonts w:eastAsia="Calibri"/>
          <w:lang w:val="en-GB"/>
        </w:rPr>
        <w:t xml:space="preserve">which </w:t>
      </w:r>
      <w:r w:rsidR="00397CC7">
        <w:rPr>
          <w:rFonts w:eastAsia="Calibri"/>
          <w:lang w:val="en-GB"/>
        </w:rPr>
        <w:t xml:space="preserve"> rest</w:t>
      </w:r>
      <w:proofErr w:type="gramEnd"/>
      <w:r w:rsidR="00397CC7">
        <w:rPr>
          <w:rFonts w:eastAsia="Calibri"/>
          <w:lang w:val="en-GB"/>
        </w:rPr>
        <w:t xml:space="preserve"> parameters such as position and velocit</w:t>
      </w:r>
      <w:r w:rsidR="00AF207E">
        <w:rPr>
          <w:rFonts w:eastAsia="Calibri"/>
          <w:lang w:val="en-GB"/>
        </w:rPr>
        <w:t>y</w:t>
      </w:r>
      <w:r w:rsidR="007F6C89">
        <w:rPr>
          <w:rFonts w:eastAsia="Calibri"/>
          <w:lang w:val="en-GB"/>
        </w:rPr>
        <w:t xml:space="preserve"> were taken</w:t>
      </w:r>
      <w:r w:rsidR="00AF207E">
        <w:rPr>
          <w:rFonts w:eastAsia="Calibri"/>
          <w:lang w:val="en-GB"/>
        </w:rPr>
        <w:t xml:space="preserve"> can be </w:t>
      </w:r>
      <w:proofErr w:type="spellStart"/>
      <w:r w:rsidR="00AF207E">
        <w:rPr>
          <w:rFonts w:eastAsia="Calibri"/>
          <w:lang w:val="en-GB"/>
        </w:rPr>
        <w:t>signaled</w:t>
      </w:r>
      <w:proofErr w:type="spellEnd"/>
      <w:r w:rsidR="00AF207E">
        <w:rPr>
          <w:rFonts w:eastAsia="Calibri"/>
          <w:lang w:val="en-GB"/>
        </w:rPr>
        <w:t xml:space="preserve"> implicitly. With respect to the above model, the reference time</w:t>
      </w:r>
      <w:r w:rsidR="006A1C08">
        <w:rPr>
          <w:rFonts w:eastAsia="Calibri"/>
          <w:lang w:val="en-GB"/>
        </w:rPr>
        <w:t xml:space="preserve"> of the parameters carried in the SIB can be defined as </w:t>
      </w:r>
      <w:r w:rsidR="00D65EFD">
        <w:rPr>
          <w:rFonts w:eastAsia="Calibri"/>
          <w:lang w:val="en-GB"/>
        </w:rPr>
        <w:t xml:space="preserve">the </w:t>
      </w:r>
      <w:r w:rsidR="00D16765">
        <w:rPr>
          <w:rFonts w:eastAsia="Calibri"/>
          <w:lang w:val="en-GB"/>
        </w:rPr>
        <w:t xml:space="preserve">end of the </w:t>
      </w:r>
      <w:r w:rsidR="00D65EFD">
        <w:rPr>
          <w:rFonts w:eastAsia="Calibri"/>
          <w:lang w:val="en-GB"/>
        </w:rPr>
        <w:t xml:space="preserve">last slot of the </w:t>
      </w:r>
      <w:r w:rsidR="00B61E5C">
        <w:rPr>
          <w:rFonts w:eastAsia="Calibri"/>
          <w:lang w:val="en-GB"/>
        </w:rPr>
        <w:t>first transmission (SI) window of each SI period</w:t>
      </w:r>
      <w:r w:rsidR="00171E13">
        <w:rPr>
          <w:rFonts w:eastAsia="Calibri"/>
          <w:lang w:val="en-GB"/>
        </w:rPr>
        <w:t xml:space="preserve"> at satellite</w:t>
      </w:r>
      <w:r w:rsidR="00B61E5C">
        <w:rPr>
          <w:rFonts w:eastAsia="Calibri"/>
          <w:lang w:val="en-GB"/>
        </w:rPr>
        <w:t>. As such</w:t>
      </w:r>
      <w:r w:rsidR="00765487">
        <w:rPr>
          <w:rFonts w:eastAsia="Calibri"/>
          <w:lang w:val="en-GB"/>
        </w:rPr>
        <w:t xml:space="preserve">, the ephemeris is updated every SI period. Within one SI period, </w:t>
      </w:r>
      <w:r w:rsidR="00A13ACD">
        <w:rPr>
          <w:rFonts w:eastAsia="Calibri"/>
          <w:lang w:val="en-GB"/>
        </w:rPr>
        <w:t xml:space="preserve">the same message can be </w:t>
      </w:r>
      <w:r w:rsidR="00165B91">
        <w:rPr>
          <w:rFonts w:eastAsia="Calibri"/>
          <w:lang w:val="en-GB"/>
        </w:rPr>
        <w:t>transmitted several times, each in a</w:t>
      </w:r>
      <w:r w:rsidR="00D01D70">
        <w:rPr>
          <w:rFonts w:eastAsia="Calibri"/>
          <w:lang w:val="en-GB"/>
        </w:rPr>
        <w:t xml:space="preserve"> separate</w:t>
      </w:r>
      <w:r w:rsidR="00765487">
        <w:rPr>
          <w:rFonts w:eastAsia="Calibri"/>
          <w:lang w:val="en-GB"/>
        </w:rPr>
        <w:t xml:space="preserve"> transmission window</w:t>
      </w:r>
      <w:r w:rsidR="00D01D70">
        <w:rPr>
          <w:rFonts w:eastAsia="Calibri"/>
          <w:lang w:val="en-GB"/>
        </w:rPr>
        <w:t xml:space="preserve"> </w:t>
      </w:r>
      <w:r w:rsidR="008D6157">
        <w:rPr>
          <w:rFonts w:eastAsia="Calibri"/>
          <w:lang w:val="en-GB"/>
        </w:rPr>
        <w:t>or SI window.</w:t>
      </w:r>
      <w:r w:rsidR="00052200">
        <w:rPr>
          <w:rFonts w:eastAsia="Calibri"/>
          <w:lang w:val="en-GB"/>
        </w:rPr>
        <w:t xml:space="preserve"> </w:t>
      </w:r>
      <w:r w:rsidR="00C32D2A">
        <w:rPr>
          <w:rFonts w:eastAsia="Calibri"/>
          <w:lang w:val="en-GB"/>
        </w:rPr>
        <w:t xml:space="preserve">In Figure 6, </w:t>
      </w:r>
      <w:r w:rsidR="00B4239A">
        <w:rPr>
          <w:rFonts w:eastAsia="Calibri"/>
          <w:lang w:val="en-GB"/>
        </w:rPr>
        <w:t xml:space="preserve">each SI period has two repetitions. </w:t>
      </w:r>
      <w:r w:rsidR="003A50AB">
        <w:rPr>
          <w:rFonts w:eastAsia="Calibri"/>
          <w:lang w:val="en-GB"/>
        </w:rPr>
        <w:t xml:space="preserve">The initial access delay can be limited by the </w:t>
      </w:r>
      <w:r w:rsidR="009C1687">
        <w:rPr>
          <w:rFonts w:eastAsia="Calibri"/>
          <w:lang w:val="en-GB"/>
        </w:rPr>
        <w:t>maximum</w:t>
      </w:r>
      <w:r w:rsidR="00052200">
        <w:rPr>
          <w:rFonts w:eastAsia="Calibri"/>
          <w:lang w:val="en-GB"/>
        </w:rPr>
        <w:t xml:space="preserve"> of g1 and g2</w:t>
      </w:r>
      <w:r w:rsidR="00B41DC9">
        <w:rPr>
          <w:rFonts w:eastAsia="Calibri"/>
          <w:lang w:val="en-GB"/>
        </w:rPr>
        <w:t xml:space="preserve">. As such, the </w:t>
      </w:r>
      <w:r w:rsidR="0090627C">
        <w:rPr>
          <w:rFonts w:eastAsia="Calibri"/>
          <w:lang w:val="en-GB"/>
        </w:rPr>
        <w:t xml:space="preserve">SI period </w:t>
      </w:r>
      <w:r w:rsidR="009F0625">
        <w:rPr>
          <w:rFonts w:eastAsia="Calibri"/>
          <w:lang w:val="en-GB"/>
        </w:rPr>
        <w:t>needs to be chosen to satisfy the initial access delay</w:t>
      </w:r>
      <w:r w:rsidR="007E3B97">
        <w:rPr>
          <w:rFonts w:eastAsia="Calibri"/>
          <w:lang w:val="en-GB"/>
        </w:rPr>
        <w:t xml:space="preserve"> and is expected to be much smaller than the typical update rate at UE side. </w:t>
      </w:r>
      <w:r w:rsidR="00DE64EA">
        <w:rPr>
          <w:rFonts w:eastAsia="Calibri"/>
          <w:lang w:val="en-GB"/>
        </w:rPr>
        <w:t xml:space="preserve">In addition, </w:t>
      </w:r>
      <w:r w:rsidR="007E3B97">
        <w:rPr>
          <w:rFonts w:eastAsia="Calibri"/>
          <w:lang w:val="en-GB"/>
        </w:rPr>
        <w:t>a validity duration needs to be signalled</w:t>
      </w:r>
      <w:r w:rsidR="0034330B">
        <w:rPr>
          <w:rFonts w:eastAsia="Calibri"/>
          <w:lang w:val="en-GB"/>
        </w:rPr>
        <w:t xml:space="preserve"> to inform UE </w:t>
      </w:r>
      <w:r w:rsidR="00A015F6">
        <w:rPr>
          <w:rFonts w:eastAsia="Calibri"/>
          <w:lang w:val="en-GB"/>
        </w:rPr>
        <w:t>the desirable update rate</w:t>
      </w:r>
      <w:r w:rsidR="00DE64EA">
        <w:rPr>
          <w:rFonts w:eastAsia="Calibri"/>
          <w:lang w:val="en-GB"/>
        </w:rPr>
        <w:t xml:space="preserve"> at UE side</w:t>
      </w:r>
      <w:r w:rsidR="00A015F6">
        <w:rPr>
          <w:rFonts w:eastAsia="Calibri"/>
          <w:lang w:val="en-GB"/>
        </w:rPr>
        <w:t xml:space="preserve">. </w:t>
      </w:r>
      <w:r w:rsidR="0024657C">
        <w:rPr>
          <w:rFonts w:eastAsia="Calibri"/>
          <w:lang w:val="en-GB"/>
        </w:rPr>
        <w:t xml:space="preserve">Since the change of the </w:t>
      </w:r>
      <w:r w:rsidR="006F105B">
        <w:rPr>
          <w:rFonts w:eastAsia="Calibri"/>
          <w:lang w:val="en-GB"/>
        </w:rPr>
        <w:t>above NTN specific information is known to UE and occurs regularly,</w:t>
      </w:r>
      <w:r w:rsidR="001E593B">
        <w:rPr>
          <w:rFonts w:eastAsia="Calibri"/>
          <w:lang w:val="en-GB"/>
        </w:rPr>
        <w:t xml:space="preserve"> the change of the contents should not trigger </w:t>
      </w:r>
      <w:r w:rsidR="0024657C">
        <w:rPr>
          <w:rFonts w:eastAsia="Calibri"/>
          <w:lang w:val="en-GB"/>
        </w:rPr>
        <w:t xml:space="preserve">the paging for </w:t>
      </w:r>
      <w:r w:rsidR="001E593B">
        <w:rPr>
          <w:rFonts w:eastAsia="Calibri"/>
          <w:lang w:val="en-GB"/>
        </w:rPr>
        <w:t>SIB modification</w:t>
      </w:r>
      <w:r w:rsidR="0024657C">
        <w:rPr>
          <w:rFonts w:eastAsia="Calibri"/>
          <w:lang w:val="en-GB"/>
        </w:rPr>
        <w:t>.</w:t>
      </w:r>
    </w:p>
    <w:p w14:paraId="58B4EE37" w14:textId="6D68AF6B" w:rsidR="00EE5B65" w:rsidRDefault="00EE5B65" w:rsidP="0039410F">
      <w:pPr>
        <w:widowControl w:val="0"/>
        <w:jc w:val="both"/>
        <w:rPr>
          <w:rFonts w:eastAsia="Calibri"/>
          <w:lang w:val="en-GB"/>
        </w:rPr>
      </w:pPr>
      <w:r>
        <w:rPr>
          <w:rFonts w:eastAsia="Calibri"/>
          <w:lang w:val="en-GB"/>
        </w:rPr>
        <w:t>In summary, we have the following proposal.</w:t>
      </w:r>
    </w:p>
    <w:p w14:paraId="5540EE5A" w14:textId="4188CBE7" w:rsidR="004B5B46" w:rsidRPr="005A40C1" w:rsidRDefault="004B5B46" w:rsidP="004B5B46">
      <w:pPr>
        <w:widowControl w:val="0"/>
        <w:jc w:val="both"/>
        <w:rPr>
          <w:b/>
          <w:bCs/>
          <w:lang w:val="en-GB"/>
        </w:rPr>
      </w:pPr>
      <w:r w:rsidRPr="005A40C1">
        <w:rPr>
          <w:b/>
          <w:bCs/>
          <w:lang w:val="en-GB"/>
        </w:rPr>
        <w:t xml:space="preserve">Proposal </w:t>
      </w:r>
      <w:r w:rsidR="0074222C">
        <w:rPr>
          <w:b/>
          <w:bCs/>
          <w:lang w:val="en-GB"/>
        </w:rPr>
        <w:t>8</w:t>
      </w:r>
      <w:r w:rsidRPr="005A40C1">
        <w:rPr>
          <w:b/>
          <w:bCs/>
          <w:lang w:val="en-GB"/>
        </w:rPr>
        <w:t xml:space="preserve">: </w:t>
      </w:r>
      <w:r w:rsidR="00466FBD" w:rsidRPr="005A40C1">
        <w:rPr>
          <w:b/>
          <w:bCs/>
          <w:lang w:val="en-GB"/>
        </w:rPr>
        <w:t>Ephemeris is broadcasted using a</w:t>
      </w:r>
      <w:r w:rsidRPr="005A40C1">
        <w:rPr>
          <w:b/>
          <w:bCs/>
          <w:lang w:val="en-GB"/>
        </w:rPr>
        <w:t xml:space="preserve">n NTN-specific </w:t>
      </w:r>
      <w:r w:rsidR="001B02A0" w:rsidRPr="005A40C1">
        <w:rPr>
          <w:b/>
          <w:bCs/>
          <w:lang w:val="en-GB"/>
        </w:rPr>
        <w:t xml:space="preserve">SIB </w:t>
      </w:r>
      <w:r w:rsidR="007A73FA" w:rsidRPr="005A40C1">
        <w:rPr>
          <w:b/>
          <w:bCs/>
          <w:lang w:val="en-GB"/>
        </w:rPr>
        <w:t xml:space="preserve">with the following </w:t>
      </w:r>
    </w:p>
    <w:p w14:paraId="24180BD6" w14:textId="57B1A62D" w:rsidR="00EE5B65" w:rsidRPr="005A40C1" w:rsidRDefault="003440DC" w:rsidP="001962A8">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 xml:space="preserve">The epoch time of </w:t>
      </w:r>
      <w:r w:rsidR="00B211D7" w:rsidRPr="005A40C1">
        <w:rPr>
          <w:rFonts w:ascii="Times New Roman" w:hAnsi="Times New Roman"/>
          <w:b/>
          <w:bCs/>
          <w:sz w:val="20"/>
          <w:szCs w:val="20"/>
          <w:lang w:val="en-GB"/>
        </w:rPr>
        <w:t xml:space="preserve">an </w:t>
      </w:r>
      <w:r w:rsidR="00171E13" w:rsidRPr="005A40C1">
        <w:rPr>
          <w:rFonts w:ascii="Times New Roman" w:hAnsi="Times New Roman"/>
          <w:b/>
          <w:bCs/>
          <w:sz w:val="20"/>
          <w:szCs w:val="20"/>
          <w:lang w:val="en-GB"/>
        </w:rPr>
        <w:t xml:space="preserve">ephemeris </w:t>
      </w:r>
      <w:r w:rsidR="00B211D7" w:rsidRPr="005A40C1">
        <w:rPr>
          <w:rFonts w:ascii="Times New Roman" w:hAnsi="Times New Roman"/>
          <w:b/>
          <w:bCs/>
          <w:sz w:val="20"/>
          <w:szCs w:val="20"/>
          <w:lang w:val="en-GB"/>
        </w:rPr>
        <w:t>message</w:t>
      </w:r>
      <w:r w:rsidR="00171E13" w:rsidRPr="005A40C1">
        <w:rPr>
          <w:rFonts w:ascii="Times New Roman" w:hAnsi="Times New Roman"/>
          <w:b/>
          <w:bCs/>
          <w:sz w:val="20"/>
          <w:szCs w:val="20"/>
          <w:lang w:val="en-GB"/>
        </w:rPr>
        <w:t xml:space="preserve"> is the last slot </w:t>
      </w:r>
      <w:r w:rsidR="00EC5D7A" w:rsidRPr="005A40C1">
        <w:rPr>
          <w:rFonts w:ascii="Times New Roman" w:hAnsi="Times New Roman"/>
          <w:b/>
          <w:bCs/>
          <w:sz w:val="20"/>
          <w:szCs w:val="20"/>
          <w:lang w:val="en-GB"/>
        </w:rPr>
        <w:t xml:space="preserve">of the first </w:t>
      </w:r>
      <w:r w:rsidR="0038726B" w:rsidRPr="005A40C1">
        <w:rPr>
          <w:rFonts w:ascii="Times New Roman" w:hAnsi="Times New Roman"/>
          <w:b/>
          <w:bCs/>
          <w:sz w:val="20"/>
          <w:szCs w:val="20"/>
          <w:lang w:val="en-GB"/>
        </w:rPr>
        <w:t>SI</w:t>
      </w:r>
      <w:r w:rsidR="00EC5D7A" w:rsidRPr="005A40C1">
        <w:rPr>
          <w:rFonts w:ascii="Times New Roman" w:hAnsi="Times New Roman"/>
          <w:b/>
          <w:bCs/>
          <w:sz w:val="20"/>
          <w:szCs w:val="20"/>
          <w:lang w:val="en-GB"/>
        </w:rPr>
        <w:t xml:space="preserve"> window </w:t>
      </w:r>
      <w:r w:rsidR="0038726B" w:rsidRPr="005A40C1">
        <w:rPr>
          <w:rFonts w:ascii="Times New Roman" w:hAnsi="Times New Roman"/>
          <w:b/>
          <w:bCs/>
          <w:sz w:val="20"/>
          <w:szCs w:val="20"/>
          <w:lang w:val="en-GB"/>
        </w:rPr>
        <w:t>of a</w:t>
      </w:r>
      <w:r w:rsidR="001F7F36" w:rsidRPr="005A40C1">
        <w:rPr>
          <w:rFonts w:ascii="Times New Roman" w:hAnsi="Times New Roman"/>
          <w:b/>
          <w:bCs/>
          <w:sz w:val="20"/>
          <w:szCs w:val="20"/>
          <w:lang w:val="en-GB"/>
        </w:rPr>
        <w:t>n</w:t>
      </w:r>
      <w:r w:rsidR="0038726B" w:rsidRPr="005A40C1">
        <w:rPr>
          <w:rFonts w:ascii="Times New Roman" w:hAnsi="Times New Roman"/>
          <w:b/>
          <w:bCs/>
          <w:sz w:val="20"/>
          <w:szCs w:val="20"/>
          <w:lang w:val="en-GB"/>
        </w:rPr>
        <w:t xml:space="preserve"> </w:t>
      </w:r>
      <w:r w:rsidR="00A17474" w:rsidRPr="005A40C1">
        <w:rPr>
          <w:rFonts w:ascii="Times New Roman" w:hAnsi="Times New Roman"/>
          <w:b/>
          <w:bCs/>
          <w:sz w:val="20"/>
          <w:szCs w:val="20"/>
          <w:lang w:val="en-GB"/>
        </w:rPr>
        <w:t>ephemeris update period.</w:t>
      </w:r>
    </w:p>
    <w:p w14:paraId="1FD6CD5D" w14:textId="19A57807" w:rsidR="00A17474" w:rsidRPr="005A40C1" w:rsidRDefault="00A46DBC" w:rsidP="001962A8">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 xml:space="preserve">The validity duration of the ephemeris </w:t>
      </w:r>
      <w:r w:rsidR="00763547">
        <w:rPr>
          <w:rFonts w:ascii="Times New Roman" w:hAnsi="Times New Roman"/>
          <w:b/>
          <w:bCs/>
          <w:sz w:val="20"/>
          <w:szCs w:val="20"/>
          <w:lang w:val="en-GB"/>
        </w:rPr>
        <w:t xml:space="preserve">as </w:t>
      </w:r>
      <w:proofErr w:type="gramStart"/>
      <w:r w:rsidR="00763547">
        <w:rPr>
          <w:rFonts w:ascii="Times New Roman" w:hAnsi="Times New Roman"/>
          <w:b/>
          <w:bCs/>
          <w:sz w:val="20"/>
          <w:szCs w:val="20"/>
          <w:lang w:val="en-GB"/>
        </w:rPr>
        <w:t>a number of</w:t>
      </w:r>
      <w:proofErr w:type="gramEnd"/>
      <w:r w:rsidR="00095EDD" w:rsidRPr="005A40C1">
        <w:rPr>
          <w:rFonts w:ascii="Times New Roman" w:hAnsi="Times New Roman"/>
          <w:b/>
          <w:bCs/>
          <w:sz w:val="20"/>
          <w:szCs w:val="20"/>
          <w:lang w:val="en-GB"/>
        </w:rPr>
        <w:t xml:space="preserve"> </w:t>
      </w:r>
      <w:r w:rsidR="00937FAA" w:rsidRPr="005A40C1">
        <w:rPr>
          <w:rFonts w:ascii="Times New Roman" w:hAnsi="Times New Roman"/>
          <w:b/>
          <w:bCs/>
          <w:sz w:val="20"/>
          <w:szCs w:val="20"/>
          <w:lang w:val="en-GB"/>
        </w:rPr>
        <w:t>ephemeris update period</w:t>
      </w:r>
      <w:r w:rsidR="00472625">
        <w:rPr>
          <w:rFonts w:ascii="Times New Roman" w:hAnsi="Times New Roman"/>
          <w:b/>
          <w:bCs/>
          <w:sz w:val="20"/>
          <w:szCs w:val="20"/>
          <w:lang w:val="en-GB"/>
        </w:rPr>
        <w:t>s</w:t>
      </w:r>
      <w:r w:rsidR="00370A5A" w:rsidRPr="005A40C1">
        <w:rPr>
          <w:rFonts w:ascii="Times New Roman" w:hAnsi="Times New Roman"/>
          <w:b/>
          <w:bCs/>
          <w:sz w:val="20"/>
          <w:szCs w:val="20"/>
          <w:lang w:val="en-GB"/>
        </w:rPr>
        <w:t>/SI period</w:t>
      </w:r>
      <w:r w:rsidR="00472625">
        <w:rPr>
          <w:rFonts w:ascii="Times New Roman" w:hAnsi="Times New Roman"/>
          <w:b/>
          <w:bCs/>
          <w:sz w:val="20"/>
          <w:szCs w:val="20"/>
          <w:lang w:val="en-GB"/>
        </w:rPr>
        <w:t>s</w:t>
      </w:r>
      <w:r w:rsidR="00937FAA" w:rsidRPr="005A40C1">
        <w:rPr>
          <w:rFonts w:ascii="Times New Roman" w:hAnsi="Times New Roman"/>
          <w:b/>
          <w:bCs/>
          <w:sz w:val="20"/>
          <w:szCs w:val="20"/>
          <w:lang w:val="en-GB"/>
        </w:rPr>
        <w:t xml:space="preserve"> </w:t>
      </w:r>
      <w:r w:rsidRPr="005A40C1">
        <w:rPr>
          <w:rFonts w:ascii="Times New Roman" w:hAnsi="Times New Roman"/>
          <w:b/>
          <w:bCs/>
          <w:sz w:val="20"/>
          <w:szCs w:val="20"/>
          <w:lang w:val="en-GB"/>
        </w:rPr>
        <w:t xml:space="preserve">is </w:t>
      </w:r>
      <w:proofErr w:type="spellStart"/>
      <w:r w:rsidRPr="005A40C1">
        <w:rPr>
          <w:rFonts w:ascii="Times New Roman" w:hAnsi="Times New Roman"/>
          <w:b/>
          <w:bCs/>
          <w:sz w:val="20"/>
          <w:szCs w:val="20"/>
          <w:lang w:val="en-GB"/>
        </w:rPr>
        <w:t>signaled</w:t>
      </w:r>
      <w:proofErr w:type="spellEnd"/>
      <w:r w:rsidRPr="005A40C1">
        <w:rPr>
          <w:rFonts w:ascii="Times New Roman" w:hAnsi="Times New Roman"/>
          <w:b/>
          <w:bCs/>
          <w:sz w:val="20"/>
          <w:szCs w:val="20"/>
          <w:lang w:val="en-GB"/>
        </w:rPr>
        <w:t xml:space="preserve"> in SIB1</w:t>
      </w:r>
      <w:r w:rsidR="00304926" w:rsidRPr="005A40C1">
        <w:rPr>
          <w:rFonts w:ascii="Times New Roman" w:hAnsi="Times New Roman"/>
          <w:b/>
          <w:bCs/>
          <w:sz w:val="20"/>
          <w:szCs w:val="20"/>
          <w:lang w:val="en-GB"/>
        </w:rPr>
        <w:t>.</w:t>
      </w:r>
    </w:p>
    <w:p w14:paraId="4C697566" w14:textId="5E16E501" w:rsidR="00EB656C" w:rsidRPr="005A40C1" w:rsidRDefault="00EB656C" w:rsidP="004D063C">
      <w:pPr>
        <w:pStyle w:val="ListParagraph"/>
        <w:widowControl w:val="0"/>
        <w:numPr>
          <w:ilvl w:val="1"/>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FFS</w:t>
      </w:r>
      <w:r w:rsidR="0002395C">
        <w:rPr>
          <w:rFonts w:ascii="Times New Roman" w:hAnsi="Times New Roman"/>
          <w:b/>
          <w:bCs/>
          <w:sz w:val="20"/>
          <w:szCs w:val="20"/>
          <w:lang w:val="en-GB"/>
        </w:rPr>
        <w:t>:</w:t>
      </w:r>
      <w:r w:rsidRPr="005A40C1">
        <w:rPr>
          <w:rFonts w:ascii="Times New Roman" w:hAnsi="Times New Roman"/>
          <w:b/>
          <w:bCs/>
          <w:sz w:val="20"/>
          <w:szCs w:val="20"/>
          <w:lang w:val="en-GB"/>
        </w:rPr>
        <w:t xml:space="preserve"> </w:t>
      </w:r>
      <w:r w:rsidR="00473A59" w:rsidRPr="005A40C1">
        <w:rPr>
          <w:rFonts w:ascii="Times New Roman" w:hAnsi="Times New Roman"/>
          <w:b/>
          <w:bCs/>
          <w:sz w:val="20"/>
          <w:szCs w:val="20"/>
          <w:lang w:val="en-GB"/>
        </w:rPr>
        <w:t xml:space="preserve">the </w:t>
      </w:r>
      <w:r w:rsidR="0002395C">
        <w:rPr>
          <w:rFonts w:ascii="Times New Roman" w:hAnsi="Times New Roman"/>
          <w:b/>
          <w:bCs/>
          <w:sz w:val="20"/>
          <w:szCs w:val="20"/>
          <w:lang w:val="en-GB"/>
        </w:rPr>
        <w:t>related</w:t>
      </w:r>
      <w:r w:rsidR="00473A59" w:rsidRPr="005A40C1">
        <w:rPr>
          <w:rFonts w:ascii="Times New Roman" w:hAnsi="Times New Roman"/>
          <w:b/>
          <w:bCs/>
          <w:sz w:val="20"/>
          <w:szCs w:val="20"/>
          <w:lang w:val="en-GB"/>
        </w:rPr>
        <w:t xml:space="preserve"> performance requirement.</w:t>
      </w:r>
    </w:p>
    <w:p w14:paraId="744C87A1" w14:textId="6613ABAC" w:rsidR="004D063C" w:rsidRPr="005A40C1" w:rsidRDefault="004D063C" w:rsidP="004D063C">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Cha</w:t>
      </w:r>
      <w:r w:rsidR="00514670" w:rsidRPr="005A40C1">
        <w:rPr>
          <w:rFonts w:ascii="Times New Roman" w:hAnsi="Times New Roman"/>
          <w:b/>
          <w:bCs/>
          <w:sz w:val="20"/>
          <w:szCs w:val="20"/>
          <w:lang w:val="en-GB"/>
        </w:rPr>
        <w:t xml:space="preserve">nge of the SI message (per SI period) does not trigger the paging </w:t>
      </w:r>
      <w:r w:rsidR="00560C42" w:rsidRPr="005A40C1">
        <w:rPr>
          <w:rFonts w:ascii="Times New Roman" w:hAnsi="Times New Roman"/>
          <w:b/>
          <w:bCs/>
          <w:sz w:val="20"/>
          <w:szCs w:val="20"/>
          <w:lang w:val="en-GB"/>
        </w:rPr>
        <w:t>for SIB modification.</w:t>
      </w:r>
    </w:p>
    <w:p w14:paraId="1BADDC53" w14:textId="07916034" w:rsidR="00560C42" w:rsidRPr="005A40C1" w:rsidRDefault="00560C42" w:rsidP="004D063C">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 xml:space="preserve">FFS if feeder link timing </w:t>
      </w:r>
      <w:r w:rsidR="0059380F" w:rsidRPr="005A40C1">
        <w:rPr>
          <w:rFonts w:ascii="Times New Roman" w:hAnsi="Times New Roman"/>
          <w:b/>
          <w:bCs/>
          <w:sz w:val="20"/>
          <w:szCs w:val="20"/>
          <w:lang w:val="en-GB"/>
        </w:rPr>
        <w:t>related information is to be carried in the same or a sperate SIB</w:t>
      </w:r>
      <w:r w:rsidR="005A40C1" w:rsidRPr="005A40C1">
        <w:rPr>
          <w:rFonts w:ascii="Times New Roman" w:hAnsi="Times New Roman"/>
          <w:b/>
          <w:bCs/>
          <w:sz w:val="20"/>
          <w:szCs w:val="20"/>
          <w:lang w:val="en-GB"/>
        </w:rPr>
        <w:t>.</w:t>
      </w:r>
    </w:p>
    <w:p w14:paraId="47A4A0BE" w14:textId="11B761A2" w:rsidR="00EF24ED" w:rsidRDefault="00EF24ED" w:rsidP="0039410F">
      <w:pPr>
        <w:widowControl w:val="0"/>
        <w:jc w:val="both"/>
        <w:rPr>
          <w:rFonts w:eastAsia="Calibri"/>
          <w:lang w:val="en-GB"/>
        </w:rPr>
      </w:pPr>
    </w:p>
    <w:p w14:paraId="432937B4" w14:textId="77777777" w:rsidR="00EF24ED" w:rsidRPr="00236555" w:rsidRDefault="00EF24ED" w:rsidP="0039410F">
      <w:pPr>
        <w:widowControl w:val="0"/>
        <w:jc w:val="both"/>
        <w:rPr>
          <w:rFonts w:eastAsia="Calibri"/>
          <w:lang w:val="en-GB"/>
        </w:rPr>
      </w:pPr>
    </w:p>
    <w:p w14:paraId="78C555A5" w14:textId="77777777" w:rsidR="00A71604" w:rsidRDefault="00A71604" w:rsidP="00B807AD">
      <w:pPr>
        <w:pStyle w:val="Heading1"/>
      </w:pPr>
      <w:r>
        <w:t>Reduced MCS for power limited PUSCH transmission</w:t>
      </w:r>
    </w:p>
    <w:p w14:paraId="45738C9C" w14:textId="77777777" w:rsidR="00A71604" w:rsidRDefault="00A71604" w:rsidP="00A71604">
      <w:pPr>
        <w:widowControl w:val="0"/>
        <w:jc w:val="both"/>
      </w:pPr>
      <w:r>
        <w:t xml:space="preserve">The large propagation delay in NTN makes it difficult to do fast link adaptation. This could cause long bursts of errors if the channel quality suddenly degrades. For the UL transmission, the closed-loop power control command may be outdated due to large delay and a sudden channel degradation caused by shadowing can be mitigated by UL transmit power control based on the DL path loss estimation. However, UL power control on the PUSCH may be infeasible if the UE has already reached the maximum transmit power. One potential solution is to allow the network to configure </w:t>
      </w:r>
      <w:proofErr w:type="gramStart"/>
      <w:r>
        <w:t>a number of</w:t>
      </w:r>
      <w:proofErr w:type="gramEnd"/>
      <w:r>
        <w:t xml:space="preserve"> reduced (or fallback) MCS’s and let a UE choose a reduced MCS that compensates for the sudden degradation on the link quality.</w:t>
      </w:r>
    </w:p>
    <w:p w14:paraId="7CE60546" w14:textId="6FC1CF9F" w:rsidR="00A71604" w:rsidRPr="00AA1CE4" w:rsidRDefault="00A71604" w:rsidP="00A71604">
      <w:pPr>
        <w:widowControl w:val="0"/>
        <w:jc w:val="both"/>
        <w:rPr>
          <w:b/>
          <w:bCs/>
          <w:lang w:val="en-GB"/>
        </w:rPr>
      </w:pPr>
      <w:bookmarkStart w:id="9" w:name="_Hlk47638319"/>
      <w:r w:rsidRPr="00D6295A">
        <w:rPr>
          <w:b/>
          <w:bCs/>
          <w:lang w:val="en-GB"/>
        </w:rPr>
        <w:t xml:space="preserve">Proposal </w:t>
      </w:r>
      <w:r w:rsidR="0074222C">
        <w:rPr>
          <w:b/>
          <w:bCs/>
          <w:lang w:val="en-GB"/>
        </w:rPr>
        <w:t>9</w:t>
      </w:r>
      <w:r w:rsidRPr="00D6295A">
        <w:rPr>
          <w:b/>
          <w:bCs/>
          <w:lang w:val="en-GB"/>
        </w:rPr>
        <w:t>: Support</w:t>
      </w:r>
      <w:r w:rsidRPr="00AA1CE4">
        <w:rPr>
          <w:b/>
          <w:bCs/>
          <w:lang w:val="en-GB"/>
        </w:rPr>
        <w:t xml:space="preserve"> autonomous reduction of MCS for PUSCH at least for cases when UE is power limited</w:t>
      </w:r>
    </w:p>
    <w:p w14:paraId="1F654F02" w14:textId="77777777" w:rsidR="00A71604" w:rsidRPr="00E51511" w:rsidRDefault="00A71604" w:rsidP="00A71604">
      <w:pPr>
        <w:pStyle w:val="ListParagraph"/>
        <w:widowControl w:val="0"/>
        <w:numPr>
          <w:ilvl w:val="0"/>
          <w:numId w:val="6"/>
        </w:numPr>
        <w:jc w:val="both"/>
        <w:rPr>
          <w:b/>
          <w:bCs/>
          <w:lang w:val="en-GB"/>
        </w:rPr>
      </w:pPr>
      <w:r w:rsidRPr="00AA1CE4">
        <w:rPr>
          <w:rFonts w:ascii="Times New Roman" w:hAnsi="Times New Roman"/>
          <w:b/>
          <w:bCs/>
          <w:sz w:val="20"/>
          <w:szCs w:val="20"/>
          <w:lang w:val="en-GB"/>
        </w:rPr>
        <w:t>Study the exact triggering condition and indication of the reduced MCS</w:t>
      </w:r>
    </w:p>
    <w:p w14:paraId="0C94CDE1" w14:textId="77777777" w:rsidR="00A71604" w:rsidRDefault="00A71604" w:rsidP="00A71604">
      <w:pPr>
        <w:widowControl w:val="0"/>
        <w:jc w:val="both"/>
        <w:rPr>
          <w:b/>
          <w:bCs/>
          <w:lang w:val="en-GB"/>
        </w:rPr>
      </w:pPr>
    </w:p>
    <w:p w14:paraId="43AAF586" w14:textId="77777777" w:rsidR="00A71604" w:rsidRDefault="00A71604" w:rsidP="00B807AD">
      <w:pPr>
        <w:pStyle w:val="Heading1"/>
      </w:pPr>
      <w:r>
        <w:t>Signalling of polarization</w:t>
      </w:r>
    </w:p>
    <w:p w14:paraId="1099E5C8" w14:textId="1FBD0545" w:rsidR="00A71604" w:rsidRDefault="00A71604" w:rsidP="00A71604">
      <w:pPr>
        <w:rPr>
          <w:lang w:val="en-GB"/>
        </w:rPr>
      </w:pPr>
      <w:r>
        <w:rPr>
          <w:lang w:val="en-GB"/>
        </w:rPr>
        <w:t xml:space="preserve">Polarization is an effective tool for increasing system capacity. One coverage area can be served by two different polarizations and two polarizations can have different beam lay out as shown in Figure </w:t>
      </w:r>
      <w:r w:rsidR="000D7E75">
        <w:rPr>
          <w:lang w:val="en-GB"/>
        </w:rPr>
        <w:t>7</w:t>
      </w:r>
      <w:r>
        <w:rPr>
          <w:lang w:val="en-GB"/>
        </w:rPr>
        <w:t>.</w:t>
      </w:r>
    </w:p>
    <w:p w14:paraId="7B10E3CC" w14:textId="77777777" w:rsidR="00A71604" w:rsidRDefault="00A71604" w:rsidP="00A71604">
      <w:pPr>
        <w:jc w:val="center"/>
      </w:pPr>
      <w:r>
        <w:object w:dxaOrig="6265" w:dyaOrig="2137" w14:anchorId="39F9109A">
          <v:shape id="_x0000_i1030" type="#_x0000_t75" style="width:313.9pt;height:106.85pt" o:ole="">
            <v:imagedata r:id="rId19" o:title=""/>
          </v:shape>
          <o:OLEObject Type="Embed" ProgID="Visio.Drawing.15" ShapeID="_x0000_i1030" DrawAspect="Content" ObjectID="_1689749743" r:id="rId20"/>
        </w:object>
      </w:r>
    </w:p>
    <w:p w14:paraId="52000783" w14:textId="5984BE4D" w:rsidR="00A71604" w:rsidRDefault="00A71604" w:rsidP="00A71604">
      <w:pPr>
        <w:pStyle w:val="Caption"/>
        <w:jc w:val="center"/>
      </w:pPr>
      <w:r>
        <w:t xml:space="preserve">Figure </w:t>
      </w:r>
      <w:r w:rsidR="000D7E75">
        <w:t>7</w:t>
      </w:r>
      <w:r>
        <w:t>. Polarization and beam layout.</w:t>
      </w:r>
    </w:p>
    <w:p w14:paraId="662D16E9" w14:textId="77777777" w:rsidR="00A71604" w:rsidRPr="00AF4A84" w:rsidRDefault="00A71604" w:rsidP="00A71604"/>
    <w:p w14:paraId="6AD4DF2E" w14:textId="77777777" w:rsidR="00A71604" w:rsidRDefault="00A71604" w:rsidP="00A71604">
      <w:pPr>
        <w:rPr>
          <w:lang w:val="en-GB"/>
        </w:rPr>
      </w:pPr>
      <w:r>
        <w:rPr>
          <w:lang w:val="en-GB"/>
        </w:rPr>
        <w:t xml:space="preserve">To have broad support of different deployment options </w:t>
      </w:r>
      <w:proofErr w:type="gramStart"/>
      <w:r>
        <w:rPr>
          <w:lang w:val="en-GB"/>
        </w:rPr>
        <w:t>with regard to</w:t>
      </w:r>
      <w:proofErr w:type="gramEnd"/>
      <w:r>
        <w:rPr>
          <w:lang w:val="en-GB"/>
        </w:rPr>
        <w:t xml:space="preserve"> polarization, it is best to support at least polarization per BWP.</w:t>
      </w:r>
    </w:p>
    <w:p w14:paraId="0382CF31" w14:textId="31B2A835" w:rsidR="00A71604" w:rsidRDefault="00A71604" w:rsidP="00A71604">
      <w:pPr>
        <w:rPr>
          <w:b/>
          <w:bCs/>
          <w:lang w:val="en-GB"/>
        </w:rPr>
      </w:pPr>
      <w:r w:rsidRPr="00903B35">
        <w:rPr>
          <w:b/>
          <w:bCs/>
          <w:lang w:val="en-GB"/>
        </w:rPr>
        <w:t>Proposal 1</w:t>
      </w:r>
      <w:r w:rsidR="0074222C">
        <w:rPr>
          <w:b/>
          <w:bCs/>
          <w:lang w:val="en-GB"/>
        </w:rPr>
        <w:t>0</w:t>
      </w:r>
      <w:r w:rsidRPr="00903B35">
        <w:rPr>
          <w:b/>
          <w:bCs/>
          <w:lang w:val="en-GB"/>
        </w:rPr>
        <w:t>: Consider at least signalling of polarization per BWP.</w:t>
      </w:r>
    </w:p>
    <w:p w14:paraId="4C53386F" w14:textId="77777777" w:rsidR="00A71604" w:rsidRDefault="00A71604" w:rsidP="00A71604">
      <w:pPr>
        <w:rPr>
          <w:b/>
          <w:bCs/>
          <w:lang w:val="en-GB"/>
        </w:rPr>
      </w:pPr>
    </w:p>
    <w:p w14:paraId="2FA8C58E" w14:textId="77777777" w:rsidR="00A71604" w:rsidRDefault="00A71604" w:rsidP="00B807AD">
      <w:pPr>
        <w:pStyle w:val="Heading1"/>
      </w:pPr>
      <w:r>
        <w:t>Antenna Diversity for PRACH</w:t>
      </w:r>
    </w:p>
    <w:p w14:paraId="78AF9A25" w14:textId="485BC6FA" w:rsidR="00A71604" w:rsidRDefault="00A71604" w:rsidP="00A71604">
      <w:pPr>
        <w:rPr>
          <w:lang w:val="en-GB"/>
        </w:rPr>
      </w:pPr>
      <w:r>
        <w:rPr>
          <w:lang w:val="en-GB"/>
        </w:rPr>
        <w:t>In RAN meeting #90e, a work item on NR coverage enhancements was approved [</w:t>
      </w:r>
      <w:r w:rsidR="00395DD5">
        <w:rPr>
          <w:lang w:val="en-GB"/>
        </w:rPr>
        <w:t>4</w:t>
      </w:r>
      <w:r>
        <w:rPr>
          <w:lang w:val="en-GB"/>
        </w:rPr>
        <w:t>]. Enhancements for PUSCH, PUCCH, and Masg3 are all included including increased repetitions, DMRS bundling across slots, and others. NR NTN coverage is expected to benefit from the work item. It is therefore important to examine PRACH coverage particularly for smart phones in S band.</w:t>
      </w:r>
    </w:p>
    <w:p w14:paraId="03B97B2D" w14:textId="2973D534" w:rsidR="00A71604" w:rsidRDefault="00A71604" w:rsidP="00A71604">
      <w:pPr>
        <w:rPr>
          <w:lang w:val="en-GB"/>
        </w:rPr>
      </w:pPr>
      <w:r>
        <w:rPr>
          <w:lang w:val="en-GB"/>
        </w:rPr>
        <w:t xml:space="preserve">Smart phones in FR1 typically have more than one linearly polarized transmit antennas. However, the exact polarization direction of antennas is unknown due to the uncertainty of handset orientation. In addition, phase shifts among antennas are typically unknown due to the separation of their associated RF chains. As a result, transmit diversity is important for PRACH transmission. In Figure </w:t>
      </w:r>
      <w:r w:rsidR="008806D7">
        <w:rPr>
          <w:lang w:val="en-GB"/>
        </w:rPr>
        <w:t>8</w:t>
      </w:r>
      <w:r>
        <w:rPr>
          <w:lang w:val="en-GB"/>
        </w:rPr>
        <w:t xml:space="preserve">, we compare the performance of PRACH format 2 with and without transmit antenna diversity. For both cases, coherent reception of the first half, i.e., the first and the second repetitions, and of the second half of the preamble was performed. The outputs of the first and the second half are then combined non-coherently.  Due to the long duration of PRACH format 2, it was found that with 200 Hz frequency error coherent reception among four repetitions will lead to worse performance that is not shown in the figure. For transmit diversity, the antenna switch point is set at CP/2 before the end of repetition 2 as shown in Figure </w:t>
      </w:r>
      <w:r w:rsidR="0059209A">
        <w:rPr>
          <w:lang w:val="en-GB"/>
        </w:rPr>
        <w:t>9</w:t>
      </w:r>
      <w:r>
        <w:rPr>
          <w:lang w:val="en-GB"/>
        </w:rPr>
        <w:t xml:space="preserve">. As such, the PRACH format 2 can accommodate a maximal differential delay CP/2 or delays in the range [-CP/4, CP/4]. Since the CP duration of PRACH format is 152.6 </w:t>
      </w:r>
      <w:proofErr w:type="spellStart"/>
      <w:r>
        <w:rPr>
          <w:lang w:val="en-GB"/>
        </w:rPr>
        <w:t>ms</w:t>
      </w:r>
      <w:proofErr w:type="spellEnd"/>
      <w:r>
        <w:rPr>
          <w:lang w:val="en-GB"/>
        </w:rPr>
        <w:t>, CP/2 is more than enough to accommodate UEs with GNSS capability.</w:t>
      </w:r>
    </w:p>
    <w:p w14:paraId="7DB71907" w14:textId="77777777" w:rsidR="00A71604" w:rsidRDefault="00A71604" w:rsidP="00A71604">
      <w:pPr>
        <w:rPr>
          <w:lang w:val="en-GB"/>
        </w:rPr>
      </w:pPr>
    </w:p>
    <w:p w14:paraId="74481DC5" w14:textId="77777777" w:rsidR="00A71604" w:rsidRDefault="00A71604" w:rsidP="00A71604">
      <w:pPr>
        <w:rPr>
          <w:lang w:val="en-GB"/>
        </w:rPr>
      </w:pPr>
      <w:r>
        <w:rPr>
          <w:noProof/>
        </w:rPr>
        <w:drawing>
          <wp:inline distT="0" distB="0" distL="0" distR="0" wp14:anchorId="629A2CE9" wp14:editId="4FB9DEC1">
            <wp:extent cx="5349240" cy="4053840"/>
            <wp:effectExtent l="0" t="0" r="3810"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349240" cy="4053840"/>
                    </a:xfrm>
                    <a:prstGeom prst="rect">
                      <a:avLst/>
                    </a:prstGeom>
                    <a:noFill/>
                    <a:ln>
                      <a:noFill/>
                    </a:ln>
                  </pic:spPr>
                </pic:pic>
              </a:graphicData>
            </a:graphic>
          </wp:inline>
        </w:drawing>
      </w:r>
    </w:p>
    <w:p w14:paraId="0DAB1511" w14:textId="10A8FA16" w:rsidR="00A71604" w:rsidRPr="00551335" w:rsidRDefault="00A71604" w:rsidP="00A71604">
      <w:pPr>
        <w:pStyle w:val="Caption"/>
        <w:jc w:val="center"/>
        <w:rPr>
          <w:noProof/>
          <w:color w:val="FF0000"/>
          <w:lang w:val="en-GB"/>
        </w:rPr>
      </w:pPr>
      <w:r>
        <w:t xml:space="preserve">Figure </w:t>
      </w:r>
      <w:r w:rsidR="000D7E75">
        <w:t>8</w:t>
      </w:r>
      <w:r>
        <w:t>. Antenna switching performance for PRACH format 2: the probability of miss detection under the constraint that the probability of false alarm is kept within the range [0.63%, 0.73%].</w:t>
      </w:r>
    </w:p>
    <w:p w14:paraId="7753E272" w14:textId="77777777" w:rsidR="00A71604" w:rsidRPr="00AE69EC" w:rsidRDefault="00A71604" w:rsidP="00A71604">
      <w:pPr>
        <w:rPr>
          <w:color w:val="FF0000"/>
          <w:lang w:val="en-GB"/>
        </w:rPr>
      </w:pPr>
      <w:r w:rsidRPr="00B82CED" w:rsidDel="00F15ECE">
        <w:rPr>
          <w:color w:val="FF0000"/>
          <w:lang w:val="en-GB"/>
        </w:rPr>
        <w:t xml:space="preserve"> </w:t>
      </w:r>
      <w:r w:rsidRPr="00AE69EC">
        <w:rPr>
          <w:color w:val="FF0000"/>
          <w:lang w:val="en-GB"/>
        </w:rPr>
        <w:t xml:space="preserve"> </w:t>
      </w:r>
    </w:p>
    <w:p w14:paraId="6823353C" w14:textId="77777777" w:rsidR="00A71604" w:rsidRDefault="00A71604" w:rsidP="00A71604">
      <w:pPr>
        <w:rPr>
          <w:lang w:val="en-GB"/>
        </w:rPr>
      </w:pPr>
      <w:r>
        <w:rPr>
          <w:noProof/>
        </w:rPr>
        <mc:AlternateContent>
          <mc:Choice Requires="wps">
            <w:drawing>
              <wp:anchor distT="0" distB="0" distL="114300" distR="114300" simplePos="0" relativeHeight="251660288" behindDoc="0" locked="0" layoutInCell="1" allowOverlap="1" wp14:anchorId="28A37279" wp14:editId="216B5610">
                <wp:simplePos x="0" y="0"/>
                <wp:positionH relativeFrom="column">
                  <wp:posOffset>361950</wp:posOffset>
                </wp:positionH>
                <wp:positionV relativeFrom="paragraph">
                  <wp:posOffset>1361440</wp:posOffset>
                </wp:positionV>
                <wp:extent cx="4663440" cy="635"/>
                <wp:effectExtent l="0" t="0" r="0" b="0"/>
                <wp:wrapNone/>
                <wp:docPr id="25" name="Text Box 25"/>
                <wp:cNvGraphicFramePr/>
                <a:graphic xmlns:a="http://schemas.openxmlformats.org/drawingml/2006/main">
                  <a:graphicData uri="http://schemas.microsoft.com/office/word/2010/wordprocessingShape">
                    <wps:wsp>
                      <wps:cNvSpPr txBox="1"/>
                      <wps:spPr>
                        <a:xfrm>
                          <a:off x="0" y="0"/>
                          <a:ext cx="4663440" cy="635"/>
                        </a:xfrm>
                        <a:prstGeom prst="rect">
                          <a:avLst/>
                        </a:prstGeom>
                        <a:solidFill>
                          <a:prstClr val="white"/>
                        </a:solidFill>
                        <a:ln>
                          <a:noFill/>
                        </a:ln>
                      </wps:spPr>
                      <wps:txbx>
                        <w:txbxContent>
                          <w:p w14:paraId="22FEB911" w14:textId="6099F024" w:rsidR="00A71604" w:rsidRPr="00551335" w:rsidRDefault="00A71604" w:rsidP="00A71604">
                            <w:pPr>
                              <w:pStyle w:val="Caption"/>
                              <w:jc w:val="center"/>
                              <w:rPr>
                                <w:noProof/>
                                <w:color w:val="FF0000"/>
                                <w:lang w:val="en-GB"/>
                              </w:rPr>
                            </w:pPr>
                            <w:r>
                              <w:t xml:space="preserve">Figure </w:t>
                            </w:r>
                            <w:r w:rsidR="00635DB4">
                              <w:t>9</w:t>
                            </w:r>
                            <w:r>
                              <w:t>. Antenna switching point for PRACH format 2.</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28A37279" id="_x0000_t202" coordsize="21600,21600" o:spt="202" path="m,l,21600r21600,l21600,xe">
                <v:stroke joinstyle="miter"/>
                <v:path gradientshapeok="t" o:connecttype="rect"/>
              </v:shapetype>
              <v:shape id="Text Box 25" o:spid="_x0000_s1026" type="#_x0000_t202" style="position:absolute;margin-left:28.5pt;margin-top:107.2pt;width:367.2pt;height:.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" stroked="f">
                <v:textbox style="mso-fit-shape-to-text:t" inset="0,0,0,0">
                  <w:txbxContent>
                    <w:p w14:paraId="22FEB911" w14:textId="6099F024" w:rsidR="00A71604" w:rsidRPr="00551335" w:rsidRDefault="00A71604" w:rsidP="00A71604">
                      <w:pPr>
                        <w:pStyle w:val="Caption"/>
                        <w:jc w:val="center"/>
                        <w:rPr>
                          <w:noProof/>
                          <w:color w:val="FF0000"/>
                          <w:lang w:val="en-GB"/>
                        </w:rPr>
                      </w:pPr>
                      <w:r>
                        <w:t xml:space="preserve">Figure </w:t>
                      </w:r>
                      <w:r w:rsidR="00635DB4">
                        <w:t>9</w:t>
                      </w:r>
                      <w:r>
                        <w:t>. Antenna switching point for PRACH format 2.</w:t>
                      </w:r>
                    </w:p>
                  </w:txbxContent>
                </v:textbox>
              </v:shape>
            </w:pict>
          </mc:Fallback>
        </mc:AlternateContent>
      </w:r>
      <w:r>
        <w:rPr>
          <w:noProof/>
          <w:color w:val="FF0000"/>
          <w:lang w:val="en-GB"/>
        </w:rPr>
        <mc:AlternateContent>
          <mc:Choice Requires="wpg">
            <w:drawing>
              <wp:anchor distT="0" distB="0" distL="114300" distR="114300" simplePos="0" relativeHeight="251659264" behindDoc="0" locked="0" layoutInCell="1" allowOverlap="1" wp14:anchorId="2DD16FF1" wp14:editId="56C03901">
                <wp:simplePos x="0" y="0"/>
                <wp:positionH relativeFrom="column">
                  <wp:posOffset>361950</wp:posOffset>
                </wp:positionH>
                <wp:positionV relativeFrom="paragraph">
                  <wp:posOffset>138430</wp:posOffset>
                </wp:positionV>
                <wp:extent cx="4663440" cy="1165860"/>
                <wp:effectExtent l="0" t="0" r="22860" b="0"/>
                <wp:wrapNone/>
                <wp:docPr id="23" name="Group 23"/>
                <wp:cNvGraphicFramePr/>
                <a:graphic xmlns:a="http://schemas.openxmlformats.org/drawingml/2006/main">
                  <a:graphicData uri="http://schemas.microsoft.com/office/word/2010/wordprocessingGroup">
                    <wpg:wgp>
                      <wpg:cNvGrpSpPr/>
                      <wpg:grpSpPr>
                        <a:xfrm>
                          <a:off x="0" y="0"/>
                          <a:ext cx="4663440" cy="1165860"/>
                          <a:chOff x="0" y="0"/>
                          <a:chExt cx="4663440" cy="1165860"/>
                        </a:xfrm>
                      </wpg:grpSpPr>
                      <wps:wsp>
                        <wps:cNvPr id="9" name="Rectangle 9"/>
                        <wps:cNvSpPr/>
                        <wps:spPr>
                          <a:xfrm>
                            <a:off x="0" y="411480"/>
                            <a:ext cx="434340" cy="289560"/>
                          </a:xfrm>
                          <a:prstGeom prst="rect">
                            <a:avLst/>
                          </a:prstGeom>
                          <a:solidFill>
                            <a:srgbClr val="FFC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43434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149352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255270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611880" y="411480"/>
                            <a:ext cx="1051560" cy="289560"/>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1874520" y="883920"/>
                            <a:ext cx="1158240" cy="281940"/>
                          </a:xfrm>
                          <a:prstGeom prst="rect">
                            <a:avLst/>
                          </a:prstGeom>
                          <a:solidFill>
                            <a:srgbClr val="FFFFFF"/>
                          </a:solidFill>
                          <a:ln w="9525">
                            <a:noFill/>
                            <a:miter lim="800000"/>
                            <a:headEnd/>
                            <a:tailEnd/>
                          </a:ln>
                        </wps:spPr>
                        <wps:txbx>
                          <w:txbxContent>
                            <w:p w14:paraId="4497E594" w14:textId="77777777" w:rsidR="00A71604" w:rsidRDefault="00A71604" w:rsidP="00A71604">
                              <w:r>
                                <w:t>Switching Point</w:t>
                              </w:r>
                            </w:p>
                          </w:txbxContent>
                        </wps:txbx>
                        <wps:bodyPr rot="0" vert="horz" wrap="square" lIns="91440" tIns="45720" rIns="91440" bIns="45720" anchor="t" anchorCtr="0">
                          <a:noAutofit/>
                        </wps:bodyPr>
                      </wps:wsp>
                      <wps:wsp>
                        <wps:cNvPr id="20" name="Straight Arrow Connector 20"/>
                        <wps:cNvCnPr/>
                        <wps:spPr>
                          <a:xfrm>
                            <a:off x="2286000" y="289560"/>
                            <a:ext cx="304800" cy="762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21" name="Text Box 2"/>
                        <wps:cNvSpPr txBox="1">
                          <a:spLocks noChangeArrowheads="1"/>
                        </wps:cNvSpPr>
                        <wps:spPr bwMode="auto">
                          <a:xfrm>
                            <a:off x="2209800" y="0"/>
                            <a:ext cx="495300" cy="261620"/>
                          </a:xfrm>
                          <a:prstGeom prst="rect">
                            <a:avLst/>
                          </a:prstGeom>
                          <a:solidFill>
                            <a:srgbClr val="FFFFFF"/>
                          </a:solidFill>
                          <a:ln w="9525">
                            <a:noFill/>
                            <a:miter lim="800000"/>
                            <a:headEnd/>
                            <a:tailEnd/>
                          </a:ln>
                        </wps:spPr>
                        <wps:txbx>
                          <w:txbxContent>
                            <w:p w14:paraId="04B41E8D" w14:textId="77777777" w:rsidR="00A71604" w:rsidRDefault="00A71604" w:rsidP="00A71604">
                              <w:r>
                                <w:t>CP/2</w:t>
                              </w:r>
                            </w:p>
                          </w:txbxContent>
                        </wps:txbx>
                        <wps:bodyPr rot="0" vert="horz" wrap="square" lIns="91440" tIns="45720" rIns="91440" bIns="45720" anchor="t" anchorCtr="0">
                          <a:noAutofit/>
                        </wps:bodyPr>
                      </wps:wsp>
                      <wps:wsp>
                        <wps:cNvPr id="22" name="Straight Connector 22"/>
                        <wps:cNvCnPr/>
                        <wps:spPr>
                          <a:xfrm>
                            <a:off x="2301240" y="220980"/>
                            <a:ext cx="7620" cy="708660"/>
                          </a:xfrm>
                          <a:prstGeom prst="line">
                            <a:avLst/>
                          </a:prstGeom>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DD16FF1" id="Group 23" o:spid="_x0000_s1027" style="position:absolute;margin-left:28.5pt;margin-top:10.9pt;width:367.2pt;height:91.8pt;z-index:251659264" coordsize="46634,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">
                <v:rect id="Rectangle 9" o:spid="_x0000_s1028" style="position:absolute;top:4114;width:4343;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" fillcolor="#ffc000" strokecolor="#1f3763 [1604]" strokeweight="1pt"/>
                <v:rect id="Rectangle 11" o:spid="_x0000_s1029" style="position:absolute;left:4343;top:4114;width:10516;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" fillcolor="#5b9bd5" strokecolor="#41719c" strokeweight="1pt"/>
                <v:rect id="Rectangle 14" o:spid="_x0000_s1030" style="position:absolute;left:14935;top:4114;width:1051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" fillcolor="#5b9bd5" strokecolor="#41719c" strokeweight="1pt"/>
                <v:rect id="Rectangle 15" o:spid="_x0000_s1031" style="position:absolute;left:25527;top:4114;width:10515;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" fillcolor="#5b9bd5" strokecolor="#41719c" strokeweight="1pt"/>
                <v:rect id="Rectangle 16" o:spid="_x0000_s1032" style="position:absolute;left:36118;top:4114;width:10516;height:28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" fillcolor="#5b9bd5" strokecolor="#41719c" strokeweight="1pt"/>
                <v:shape id="Text Box 2" o:spid="_x0000_s1033" type="#_x0000_t202" style="position:absolute;left:18745;top:8839;width:11582;height:28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4497E594" w14:textId="77777777" w:rsidR="00A71604" w:rsidRDefault="00A71604" w:rsidP="00A71604">
                        <w:r>
                          <w:t>Switching Point</w:t>
                        </w:r>
                      </w:p>
                    </w:txbxContent>
                  </v:textbox>
                </v:shape>
                <v:shapetype id="_x0000_t32" coordsize="21600,21600" o:spt="32" o:oned="t" path="m,l21600,21600e" filled="f">
                  <v:path arrowok="t" fillok="f" o:connecttype="none"/>
                  <o:lock v:ext="edit" shapetype="t"/>
                </v:shapetype>
                <v:shape id="Straight Arrow Connector 20" o:spid="_x0000_s1034" type="#_x0000_t32" style="position:absolute;left:22860;top:2895;width:3048;height:7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" strokecolor="#4472c4 [3204]" strokeweight=".5pt">
                  <v:stroke startarrow="block" endarrow="block" joinstyle="miter"/>
                </v:shape>
                <v:shape id="Text Box 2" o:spid="_x0000_s1035" type="#_x0000_t202" style="position:absolute;left:22098;width:4953;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" stroked="f">
                  <v:textbox>
                    <w:txbxContent>
                      <w:p w14:paraId="04B41E8D" w14:textId="77777777" w:rsidR="00A71604" w:rsidRDefault="00A71604" w:rsidP="00A71604">
                        <w:r>
                          <w:t>CP/2</w:t>
                        </w:r>
                      </w:p>
                    </w:txbxContent>
                  </v:textbox>
                </v:shape>
                <v:line id="Straight Connector 22" o:spid="_x0000_s1036" style="position:absolute;visibility:visible;mso-wrap-style:square" from="23012,2209" to="23088,92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" strokecolor="#4472c4 [3204]" strokeweight=".5pt">
                  <v:stroke joinstyle="miter"/>
                </v:line>
              </v:group>
            </w:pict>
          </mc:Fallback>
        </mc:AlternateContent>
      </w:r>
    </w:p>
    <w:p w14:paraId="29BE2886" w14:textId="77777777" w:rsidR="00A71604" w:rsidRDefault="00A71604" w:rsidP="00A71604">
      <w:pPr>
        <w:rPr>
          <w:lang w:val="en-GB"/>
        </w:rPr>
      </w:pPr>
    </w:p>
    <w:p w14:paraId="7F255B77" w14:textId="77777777" w:rsidR="00A71604" w:rsidRDefault="00A71604" w:rsidP="00A71604">
      <w:pPr>
        <w:rPr>
          <w:lang w:val="en-GB"/>
        </w:rPr>
      </w:pPr>
    </w:p>
    <w:p w14:paraId="5732ECAC" w14:textId="77777777" w:rsidR="00A71604" w:rsidRDefault="00A71604" w:rsidP="00A71604">
      <w:pPr>
        <w:rPr>
          <w:lang w:val="en-GB"/>
        </w:rPr>
      </w:pPr>
    </w:p>
    <w:p w14:paraId="57AE79D8" w14:textId="77777777" w:rsidR="00A71604" w:rsidRDefault="00A71604" w:rsidP="00A71604">
      <w:pPr>
        <w:rPr>
          <w:lang w:val="en-GB"/>
        </w:rPr>
      </w:pPr>
    </w:p>
    <w:p w14:paraId="5B853ADE" w14:textId="77777777" w:rsidR="00A71604" w:rsidRDefault="00A71604" w:rsidP="00A71604">
      <w:pPr>
        <w:rPr>
          <w:lang w:val="en-GB"/>
        </w:rPr>
      </w:pPr>
    </w:p>
    <w:p w14:paraId="213049F7" w14:textId="77777777" w:rsidR="00A71604" w:rsidRDefault="00A71604" w:rsidP="00A71604">
      <w:pPr>
        <w:rPr>
          <w:lang w:val="en-GB"/>
        </w:rPr>
      </w:pPr>
    </w:p>
    <w:p w14:paraId="5492511C" w14:textId="36F7C930" w:rsidR="00A71604" w:rsidRDefault="00A71604" w:rsidP="00A71604">
      <w:pPr>
        <w:rPr>
          <w:lang w:val="en-GB"/>
        </w:rPr>
      </w:pPr>
      <w:r>
        <w:rPr>
          <w:lang w:val="en-GB"/>
        </w:rPr>
        <w:t xml:space="preserve">As can be seen from Figure </w:t>
      </w:r>
      <w:r w:rsidR="00635DB4">
        <w:rPr>
          <w:lang w:val="en-GB"/>
        </w:rPr>
        <w:t>8</w:t>
      </w:r>
      <w:r>
        <w:rPr>
          <w:lang w:val="en-GB"/>
        </w:rPr>
        <w:t xml:space="preserve">, Antenna diversity provides about 1 dB gain at 1% miss detection rate. Since the bandwidth of PRACH format 2 is about 1 MHz, a X dB SNR for PRACH format 2 corresponds </w:t>
      </w:r>
      <w:proofErr w:type="gramStart"/>
      <w:r>
        <w:rPr>
          <w:lang w:val="en-GB"/>
        </w:rPr>
        <w:t>to  a</w:t>
      </w:r>
      <w:proofErr w:type="gramEnd"/>
      <w:r>
        <w:rPr>
          <w:lang w:val="en-GB"/>
        </w:rPr>
        <w:t xml:space="preserve"> X+7.6 dB SNR for 1 PRB PUSCH transmission of with 15 kHz subcarrier spacing. Hence it is important to allow transmit antenna diversity for PRACH format 2. To do so, we need to define the antenna switching point.</w:t>
      </w:r>
    </w:p>
    <w:p w14:paraId="0C3E8AD9" w14:textId="4936A69A" w:rsidR="00A71604" w:rsidRPr="00620C99" w:rsidRDefault="00A71604" w:rsidP="00A71604">
      <w:pPr>
        <w:rPr>
          <w:lang w:val="en-GB"/>
        </w:rPr>
      </w:pPr>
      <w:r w:rsidRPr="000D308C">
        <w:rPr>
          <w:b/>
          <w:bCs/>
          <w:lang w:val="en-GB"/>
        </w:rPr>
        <w:t>Proposal 1</w:t>
      </w:r>
      <w:r w:rsidR="0074222C">
        <w:rPr>
          <w:b/>
          <w:bCs/>
          <w:lang w:val="en-GB"/>
        </w:rPr>
        <w:t>1</w:t>
      </w:r>
      <w:r w:rsidRPr="000D308C">
        <w:rPr>
          <w:b/>
          <w:bCs/>
          <w:lang w:val="en-GB"/>
        </w:rPr>
        <w:t>: For PRACH format 2 in NTN, antenna switching point is CP/2 before the end of the second repletion or 22232x64 T</w:t>
      </w:r>
      <w:r w:rsidRPr="0006443E">
        <w:rPr>
          <w:rFonts w:ascii="Times New Roman Bold" w:hAnsi="Times New Roman Bold"/>
          <w:b/>
          <w:bCs/>
          <w:vertAlign w:val="subscript"/>
          <w:lang w:val="en-GB"/>
        </w:rPr>
        <w:t>c</w:t>
      </w:r>
      <w:r w:rsidRPr="000D308C">
        <w:rPr>
          <w:b/>
          <w:bCs/>
          <w:lang w:val="en-GB"/>
        </w:rPr>
        <w:t xml:space="preserve"> of the second repetition. </w:t>
      </w:r>
    </w:p>
    <w:p w14:paraId="56615AFB" w14:textId="412F06D8" w:rsidR="00A71604" w:rsidRDefault="00A71604" w:rsidP="00A71604">
      <w:pPr>
        <w:tabs>
          <w:tab w:val="left" w:pos="2928"/>
        </w:tabs>
      </w:pPr>
    </w:p>
    <w:bookmarkEnd w:id="9"/>
    <w:p w14:paraId="6FEC3934" w14:textId="77777777" w:rsidR="00A71604" w:rsidRDefault="00A71604" w:rsidP="00A71604">
      <w:pPr>
        <w:pStyle w:val="Heading1"/>
        <w:rPr>
          <w:color w:val="000000" w:themeColor="text1"/>
        </w:rPr>
      </w:pPr>
      <w:r w:rsidRPr="00535B74">
        <w:rPr>
          <w:color w:val="000000" w:themeColor="text1"/>
        </w:rPr>
        <w:t>Conclusions</w:t>
      </w:r>
    </w:p>
    <w:p w14:paraId="545B80EB" w14:textId="148AC86B" w:rsidR="00A71604" w:rsidRDefault="00A71604" w:rsidP="00A71604">
      <w:pPr>
        <w:rPr>
          <w:lang w:val="en-GB"/>
        </w:rPr>
      </w:pPr>
      <w:r>
        <w:rPr>
          <w:lang w:val="en-GB"/>
        </w:rPr>
        <w:t xml:space="preserve">In this contribution, we have discussed BWP operation and associated signalling enhancements to support different deployment options and efficient beam switching. In addition, some other issues and enhancements are discussed. </w:t>
      </w:r>
      <w:r w:rsidR="00B70EC8">
        <w:rPr>
          <w:lang w:val="en-GB"/>
        </w:rPr>
        <w:t>Observations and pro</w:t>
      </w:r>
      <w:r w:rsidR="00CF1C85">
        <w:rPr>
          <w:lang w:val="en-GB"/>
        </w:rPr>
        <w:t>posals are listed below.</w:t>
      </w:r>
    </w:p>
    <w:bookmarkEnd w:id="2"/>
    <w:bookmarkEnd w:id="3"/>
    <w:p w14:paraId="556D891E" w14:textId="77777777" w:rsidR="00A71604" w:rsidRPr="005548BB" w:rsidRDefault="00A71604" w:rsidP="00A71604">
      <w:pPr>
        <w:rPr>
          <w:b/>
          <w:bCs/>
          <w:color w:val="000000" w:themeColor="text1"/>
        </w:rPr>
      </w:pPr>
      <w:r w:rsidRPr="005548BB">
        <w:rPr>
          <w:b/>
          <w:bCs/>
          <w:color w:val="000000" w:themeColor="text1"/>
        </w:rPr>
        <w:t xml:space="preserve">Observation 1: Different options for cell/beam/frequency planning call for flexible standard design. </w:t>
      </w:r>
    </w:p>
    <w:p w14:paraId="66322441" w14:textId="4FD21C7F" w:rsidR="00A71604" w:rsidRPr="005548BB" w:rsidRDefault="00A71604" w:rsidP="00A71604">
      <w:pPr>
        <w:rPr>
          <w:b/>
          <w:bCs/>
        </w:rPr>
      </w:pPr>
      <w:r w:rsidRPr="005548BB">
        <w:rPr>
          <w:b/>
          <w:bCs/>
        </w:rPr>
        <w:t xml:space="preserve">Observation 2: Different beams of a satellite may have different carrier </w:t>
      </w:r>
      <w:proofErr w:type="gramStart"/>
      <w:r w:rsidRPr="005548BB">
        <w:rPr>
          <w:b/>
          <w:bCs/>
        </w:rPr>
        <w:t>frequencies</w:t>
      </w:r>
      <w:proofErr w:type="gramEnd"/>
      <w:r w:rsidRPr="005548BB">
        <w:rPr>
          <w:b/>
          <w:bCs/>
        </w:rPr>
        <w:t xml:space="preserve"> but the same </w:t>
      </w:r>
      <w:r w:rsidR="008D5995">
        <w:rPr>
          <w:b/>
          <w:bCs/>
        </w:rPr>
        <w:t>optimal</w:t>
      </w:r>
      <w:r w:rsidR="0039424A">
        <w:rPr>
          <w:b/>
          <w:bCs/>
        </w:rPr>
        <w:t xml:space="preserve"> </w:t>
      </w:r>
      <w:r w:rsidRPr="005548BB">
        <w:rPr>
          <w:b/>
          <w:bCs/>
        </w:rPr>
        <w:t>UE transmit and receive spatial direction.</w:t>
      </w:r>
    </w:p>
    <w:p w14:paraId="2CA5C215" w14:textId="77777777" w:rsidR="00A71604" w:rsidRPr="005548BB" w:rsidRDefault="00A71604" w:rsidP="00A71604">
      <w:pPr>
        <w:rPr>
          <w:b/>
          <w:bCs/>
          <w:lang w:val="en-GB"/>
        </w:rPr>
      </w:pPr>
      <w:r w:rsidRPr="005548BB">
        <w:rPr>
          <w:b/>
          <w:bCs/>
          <w:lang w:val="en-GB"/>
        </w:rPr>
        <w:t xml:space="preserve">Proposal 1: Support satellite beam specific initial BWPs. </w:t>
      </w:r>
    </w:p>
    <w:p w14:paraId="7A19B9EE" w14:textId="3DA4C1BA" w:rsidR="00A71604" w:rsidRPr="005548BB" w:rsidRDefault="00A71604" w:rsidP="00A71604">
      <w:pPr>
        <w:rPr>
          <w:rFonts w:eastAsia="Calibri"/>
          <w:b/>
          <w:bCs/>
          <w:lang w:val="en-GB"/>
        </w:rPr>
      </w:pPr>
      <w:r w:rsidRPr="005548BB">
        <w:rPr>
          <w:rFonts w:eastAsia="Calibri"/>
          <w:b/>
          <w:bCs/>
          <w:lang w:val="en-GB"/>
        </w:rPr>
        <w:t xml:space="preserve">Proposal </w:t>
      </w:r>
      <w:r w:rsidR="0074222C">
        <w:rPr>
          <w:rFonts w:eastAsia="Calibri"/>
          <w:b/>
          <w:bCs/>
          <w:lang w:val="en-GB"/>
        </w:rPr>
        <w:t>2</w:t>
      </w:r>
      <w:r w:rsidRPr="005548BB">
        <w:rPr>
          <w:rFonts w:eastAsia="Calibri"/>
          <w:b/>
          <w:bCs/>
          <w:lang w:val="en-GB"/>
        </w:rPr>
        <w:t>: Support the following SSB arrangements</w:t>
      </w:r>
    </w:p>
    <w:p w14:paraId="47FED22D" w14:textId="77777777" w:rsidR="00A71604" w:rsidRPr="005548BB" w:rsidRDefault="00A71604" w:rsidP="00A71604">
      <w:pPr>
        <w:pStyle w:val="ListParagraph"/>
        <w:numPr>
          <w:ilvl w:val="0"/>
          <w:numId w:val="3"/>
        </w:numPr>
        <w:rPr>
          <w:rFonts w:ascii="Times New Roman" w:hAnsi="Times New Roman"/>
          <w:b/>
          <w:bCs/>
          <w:sz w:val="20"/>
          <w:szCs w:val="20"/>
          <w:lang w:val="en-GB"/>
        </w:rPr>
      </w:pPr>
      <w:r w:rsidRPr="005548BB">
        <w:rPr>
          <w:rFonts w:ascii="Times New Roman" w:hAnsi="Times New Roman"/>
          <w:b/>
          <w:bCs/>
          <w:sz w:val="20"/>
          <w:szCs w:val="20"/>
          <w:lang w:val="en-GB"/>
        </w:rPr>
        <w:t>Alt 1: SSBs of all satellite beams in a same cell are transmitted within a same frequency interval and do not overlap in time</w:t>
      </w:r>
    </w:p>
    <w:p w14:paraId="15D1E5C9" w14:textId="77777777" w:rsidR="00A71604" w:rsidRPr="005548BB" w:rsidRDefault="00A71604" w:rsidP="00A71604">
      <w:pPr>
        <w:pStyle w:val="ListParagraph"/>
        <w:numPr>
          <w:ilvl w:val="0"/>
          <w:numId w:val="3"/>
        </w:numPr>
        <w:rPr>
          <w:rFonts w:ascii="Times New Roman" w:hAnsi="Times New Roman"/>
          <w:b/>
          <w:bCs/>
          <w:sz w:val="20"/>
          <w:szCs w:val="20"/>
          <w:lang w:val="en-GB"/>
        </w:rPr>
      </w:pPr>
      <w:r w:rsidRPr="005548BB">
        <w:rPr>
          <w:rFonts w:ascii="Times New Roman" w:hAnsi="Times New Roman"/>
          <w:b/>
          <w:bCs/>
          <w:sz w:val="20"/>
          <w:szCs w:val="20"/>
          <w:lang w:val="en-GB"/>
        </w:rPr>
        <w:t>Alt 2: SSBs of a cell are transmitted in different frequency interval, i.e., within their respective BWPs.</w:t>
      </w:r>
    </w:p>
    <w:p w14:paraId="306916E7" w14:textId="77777777" w:rsidR="00A71604" w:rsidRPr="005548BB" w:rsidRDefault="00A71604" w:rsidP="00A71604">
      <w:pPr>
        <w:rPr>
          <w:b/>
          <w:bCs/>
          <w:lang w:val="en-GB"/>
        </w:rPr>
      </w:pPr>
    </w:p>
    <w:p w14:paraId="4AA06F50" w14:textId="090030CF" w:rsidR="00A71604" w:rsidRPr="005548BB" w:rsidRDefault="00A71604" w:rsidP="00A71604">
      <w:pPr>
        <w:rPr>
          <w:b/>
          <w:bCs/>
          <w:lang w:val="en-GB"/>
        </w:rPr>
      </w:pPr>
      <w:r w:rsidRPr="005548BB">
        <w:rPr>
          <w:b/>
          <w:bCs/>
          <w:lang w:val="en-GB"/>
        </w:rPr>
        <w:t xml:space="preserve">Proposal </w:t>
      </w:r>
      <w:r w:rsidR="0074222C">
        <w:rPr>
          <w:b/>
          <w:bCs/>
          <w:lang w:val="en-GB"/>
        </w:rPr>
        <w:t>3</w:t>
      </w:r>
      <w:r w:rsidRPr="005548BB">
        <w:rPr>
          <w:b/>
          <w:bCs/>
          <w:lang w:val="en-GB"/>
        </w:rPr>
        <w:t>: Support signalling of the following configurations in SIB1</w:t>
      </w:r>
    </w:p>
    <w:p w14:paraId="07DB3046" w14:textId="77777777" w:rsidR="00A71604" w:rsidRPr="005548BB" w:rsidRDefault="00A71604" w:rsidP="00A71604">
      <w:pPr>
        <w:pStyle w:val="ListParagraph"/>
        <w:numPr>
          <w:ilvl w:val="0"/>
          <w:numId w:val="9"/>
        </w:numPr>
        <w:rPr>
          <w:rFonts w:ascii="Times New Roman" w:hAnsi="Times New Roman"/>
          <w:b/>
          <w:bCs/>
          <w:sz w:val="20"/>
          <w:szCs w:val="20"/>
          <w:lang w:val="en-GB"/>
        </w:rPr>
      </w:pPr>
      <w:r w:rsidRPr="005548BB">
        <w:rPr>
          <w:rFonts w:ascii="Times New Roman" w:hAnsi="Times New Roman"/>
          <w:b/>
          <w:bCs/>
          <w:sz w:val="20"/>
          <w:szCs w:val="20"/>
          <w:lang w:val="en-GB"/>
        </w:rPr>
        <w:t>initial BWPs of other satellite beams,</w:t>
      </w:r>
    </w:p>
    <w:p w14:paraId="7ED7A998" w14:textId="77777777" w:rsidR="00A71604" w:rsidRPr="005548BB" w:rsidRDefault="00A71604" w:rsidP="00A71604">
      <w:pPr>
        <w:pStyle w:val="ListParagraph"/>
        <w:numPr>
          <w:ilvl w:val="0"/>
          <w:numId w:val="9"/>
        </w:numPr>
        <w:rPr>
          <w:rFonts w:ascii="Times New Roman" w:hAnsi="Times New Roman"/>
          <w:b/>
          <w:bCs/>
          <w:sz w:val="20"/>
          <w:szCs w:val="20"/>
          <w:lang w:val="en-GB"/>
        </w:rPr>
      </w:pPr>
      <w:r w:rsidRPr="005548BB">
        <w:rPr>
          <w:rFonts w:ascii="Times New Roman" w:hAnsi="Times New Roman"/>
          <w:b/>
          <w:bCs/>
          <w:sz w:val="20"/>
          <w:szCs w:val="20"/>
          <w:lang w:val="en-GB"/>
        </w:rPr>
        <w:t xml:space="preserve">CORSET#0 of other satellite beams if different from that of the serving beam. </w:t>
      </w:r>
    </w:p>
    <w:p w14:paraId="329226F4" w14:textId="77777777" w:rsidR="00A71604" w:rsidRPr="005548BB" w:rsidRDefault="00A71604" w:rsidP="00A71604">
      <w:pPr>
        <w:rPr>
          <w:b/>
          <w:bCs/>
        </w:rPr>
      </w:pPr>
    </w:p>
    <w:p w14:paraId="0D467C76" w14:textId="7A44D9A8" w:rsidR="00A57BF2" w:rsidRPr="005548BB" w:rsidRDefault="00A57BF2" w:rsidP="00A57BF2">
      <w:pPr>
        <w:widowControl w:val="0"/>
        <w:jc w:val="both"/>
        <w:rPr>
          <w:rFonts w:eastAsia="Calibri"/>
          <w:b/>
          <w:bCs/>
          <w:lang w:val="en-GB"/>
        </w:rPr>
      </w:pPr>
      <w:r w:rsidRPr="005548BB">
        <w:rPr>
          <w:rFonts w:eastAsia="Calibri"/>
          <w:b/>
          <w:bCs/>
          <w:lang w:val="en-GB"/>
        </w:rPr>
        <w:t xml:space="preserve">Proposal </w:t>
      </w:r>
      <w:r w:rsidR="0074222C">
        <w:rPr>
          <w:rFonts w:eastAsia="Calibri"/>
          <w:b/>
          <w:bCs/>
          <w:lang w:val="en-GB"/>
        </w:rPr>
        <w:t>4</w:t>
      </w:r>
      <w:r w:rsidRPr="005548BB">
        <w:rPr>
          <w:rFonts w:eastAsia="Calibri"/>
          <w:b/>
          <w:bCs/>
          <w:lang w:val="en-GB"/>
        </w:rPr>
        <w:t>: Consider increasing the number of bits for the BWP ID (</w:t>
      </w:r>
      <w:proofErr w:type="spellStart"/>
      <w:r w:rsidRPr="005548BB">
        <w:rPr>
          <w:rFonts w:eastAsia="Calibri"/>
          <w:b/>
          <w:bCs/>
          <w:lang w:val="en-GB"/>
        </w:rPr>
        <w:t>bwp</w:t>
      </w:r>
      <w:proofErr w:type="spellEnd"/>
      <w:r w:rsidRPr="005548BB">
        <w:rPr>
          <w:rFonts w:eastAsia="Calibri"/>
          <w:b/>
          <w:bCs/>
          <w:lang w:val="en-GB"/>
        </w:rPr>
        <w:t xml:space="preserve">-Id) </w:t>
      </w:r>
    </w:p>
    <w:p w14:paraId="6421680C" w14:textId="77777777" w:rsidR="00A57BF2" w:rsidRPr="005548BB" w:rsidRDefault="00A57BF2" w:rsidP="00A57BF2">
      <w:pPr>
        <w:pStyle w:val="ListParagraph"/>
        <w:widowControl w:val="0"/>
        <w:numPr>
          <w:ilvl w:val="0"/>
          <w:numId w:val="12"/>
        </w:numPr>
        <w:jc w:val="both"/>
        <w:rPr>
          <w:rFonts w:ascii="Times New Roman" w:hAnsi="Times New Roman"/>
          <w:b/>
          <w:bCs/>
          <w:sz w:val="20"/>
          <w:szCs w:val="20"/>
          <w:lang w:val="en-GB"/>
        </w:rPr>
      </w:pPr>
      <w:r w:rsidRPr="005548BB">
        <w:rPr>
          <w:rFonts w:ascii="Times New Roman" w:hAnsi="Times New Roman"/>
          <w:b/>
          <w:bCs/>
          <w:sz w:val="20"/>
          <w:szCs w:val="20"/>
          <w:lang w:val="en-GB"/>
        </w:rPr>
        <w:t xml:space="preserve">The network can signal the difference between a BWP and a reference BWP to reduce the signalling overhead of BWP configuration. </w:t>
      </w:r>
    </w:p>
    <w:p w14:paraId="54755E4C" w14:textId="77777777" w:rsidR="00E21F39" w:rsidRPr="005548BB" w:rsidRDefault="00E21F39" w:rsidP="00A71604">
      <w:pPr>
        <w:widowControl w:val="0"/>
        <w:jc w:val="both"/>
        <w:rPr>
          <w:rFonts w:eastAsia="Calibri"/>
          <w:b/>
          <w:bCs/>
          <w:lang w:val="en-GB"/>
        </w:rPr>
      </w:pPr>
    </w:p>
    <w:p w14:paraId="1EAC259A" w14:textId="5D3ED10B" w:rsidR="00E21F39" w:rsidRPr="005548BB" w:rsidRDefault="00E21F39" w:rsidP="00E21F39">
      <w:pPr>
        <w:widowControl w:val="0"/>
        <w:jc w:val="both"/>
        <w:rPr>
          <w:rFonts w:eastAsia="Calibri"/>
          <w:b/>
          <w:bCs/>
          <w:lang w:val="en-GB"/>
        </w:rPr>
      </w:pPr>
      <w:r w:rsidRPr="005548BB">
        <w:rPr>
          <w:rFonts w:eastAsia="Calibri"/>
          <w:b/>
          <w:bCs/>
          <w:lang w:val="en-GB"/>
        </w:rPr>
        <w:t xml:space="preserve">Proposal </w:t>
      </w:r>
      <w:r w:rsidR="0074222C">
        <w:rPr>
          <w:rFonts w:eastAsia="Calibri"/>
          <w:b/>
          <w:bCs/>
          <w:lang w:val="en-GB"/>
        </w:rPr>
        <w:t>5</w:t>
      </w:r>
      <w:r w:rsidRPr="005548BB">
        <w:rPr>
          <w:rFonts w:eastAsia="Calibri"/>
          <w:b/>
          <w:bCs/>
          <w:lang w:val="en-GB"/>
        </w:rPr>
        <w:t>: Support BWP frequency shift through DCI and/or configuration.</w:t>
      </w:r>
    </w:p>
    <w:p w14:paraId="0CCEFF8F" w14:textId="1E3764E8" w:rsidR="00A71604" w:rsidRPr="00EE6D2A" w:rsidRDefault="00E21F39" w:rsidP="00A71604">
      <w:pPr>
        <w:widowControl w:val="0"/>
        <w:jc w:val="both"/>
        <w:rPr>
          <w:rFonts w:eastAsia="Calibri"/>
          <w:b/>
          <w:bCs/>
          <w:lang w:val="en-GB"/>
        </w:rPr>
      </w:pPr>
      <w:r w:rsidRPr="005548BB">
        <w:rPr>
          <w:rFonts w:eastAsia="Calibri"/>
          <w:b/>
          <w:bCs/>
          <w:lang w:val="en-GB"/>
        </w:rPr>
        <w:t xml:space="preserve">Proposal </w:t>
      </w:r>
      <w:r w:rsidR="0074222C">
        <w:rPr>
          <w:rFonts w:eastAsia="Calibri"/>
          <w:b/>
          <w:bCs/>
          <w:lang w:val="en-GB"/>
        </w:rPr>
        <w:t>6</w:t>
      </w:r>
      <w:r w:rsidRPr="005548BB">
        <w:rPr>
          <w:rFonts w:eastAsia="Calibri"/>
          <w:b/>
          <w:bCs/>
          <w:lang w:val="en-GB"/>
        </w:rPr>
        <w:t xml:space="preserve">: Support RRC configuration to indicate BWP switching through DCI by either BWP ID or BWP frequency hopping. </w:t>
      </w:r>
    </w:p>
    <w:p w14:paraId="31C4FDAE" w14:textId="4132C559" w:rsidR="00E21F39" w:rsidRDefault="00E21F39" w:rsidP="00E21F39">
      <w:pPr>
        <w:widowControl w:val="0"/>
        <w:jc w:val="both"/>
        <w:rPr>
          <w:rFonts w:eastAsia="Calibri"/>
          <w:b/>
          <w:bCs/>
          <w:lang w:val="en-GB"/>
        </w:rPr>
      </w:pPr>
      <w:r w:rsidRPr="00CF4E9A">
        <w:rPr>
          <w:rFonts w:eastAsia="Calibri"/>
          <w:b/>
          <w:bCs/>
          <w:lang w:val="en-GB"/>
        </w:rPr>
        <w:t xml:space="preserve">Proposal </w:t>
      </w:r>
      <w:r w:rsidR="0074222C">
        <w:rPr>
          <w:rFonts w:eastAsia="Calibri"/>
          <w:b/>
          <w:bCs/>
          <w:lang w:val="en-GB"/>
        </w:rPr>
        <w:t>7</w:t>
      </w:r>
      <w:r w:rsidRPr="00CF4E9A">
        <w:rPr>
          <w:rFonts w:eastAsia="Calibri"/>
          <w:b/>
          <w:bCs/>
          <w:lang w:val="en-GB"/>
        </w:rPr>
        <w:t xml:space="preserve">: </w:t>
      </w:r>
      <w:r>
        <w:rPr>
          <w:rFonts w:eastAsia="Calibri"/>
          <w:b/>
          <w:bCs/>
          <w:lang w:val="en-GB"/>
        </w:rPr>
        <w:t xml:space="preserve">Consider enhancements on radio link monitoring to support efficient reference resource configuration and measurement outside the active BWP. </w:t>
      </w:r>
    </w:p>
    <w:p w14:paraId="528B9FD9" w14:textId="7CF372F0" w:rsidR="00814844" w:rsidRPr="005A40C1" w:rsidRDefault="00814844" w:rsidP="00814844">
      <w:pPr>
        <w:widowControl w:val="0"/>
        <w:jc w:val="both"/>
        <w:rPr>
          <w:b/>
          <w:bCs/>
          <w:lang w:val="en-GB"/>
        </w:rPr>
      </w:pPr>
      <w:r w:rsidRPr="005A40C1">
        <w:rPr>
          <w:b/>
          <w:bCs/>
          <w:lang w:val="en-GB"/>
        </w:rPr>
        <w:t xml:space="preserve">Proposal </w:t>
      </w:r>
      <w:r w:rsidR="0074222C">
        <w:rPr>
          <w:b/>
          <w:bCs/>
          <w:lang w:val="en-GB"/>
        </w:rPr>
        <w:t>8</w:t>
      </w:r>
      <w:r w:rsidRPr="005A40C1">
        <w:rPr>
          <w:b/>
          <w:bCs/>
          <w:lang w:val="en-GB"/>
        </w:rPr>
        <w:t xml:space="preserve">: Ephemeris is broadcasted using an NTN-specific SIB with the following </w:t>
      </w:r>
    </w:p>
    <w:p w14:paraId="51802006" w14:textId="77777777" w:rsidR="00814844" w:rsidRPr="005A40C1" w:rsidRDefault="00814844" w:rsidP="00814844">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The epoch time of an ephemeris message is the last slot of the first SI window of an ephemeris update period.</w:t>
      </w:r>
    </w:p>
    <w:p w14:paraId="3B595801" w14:textId="77777777" w:rsidR="00814844" w:rsidRPr="005A40C1" w:rsidRDefault="00814844" w:rsidP="00814844">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 xml:space="preserve">The validity duration of the ephemeris </w:t>
      </w:r>
      <w:r>
        <w:rPr>
          <w:rFonts w:ascii="Times New Roman" w:hAnsi="Times New Roman"/>
          <w:b/>
          <w:bCs/>
          <w:sz w:val="20"/>
          <w:szCs w:val="20"/>
          <w:lang w:val="en-GB"/>
        </w:rPr>
        <w:t xml:space="preserve">as </w:t>
      </w:r>
      <w:proofErr w:type="gramStart"/>
      <w:r>
        <w:rPr>
          <w:rFonts w:ascii="Times New Roman" w:hAnsi="Times New Roman"/>
          <w:b/>
          <w:bCs/>
          <w:sz w:val="20"/>
          <w:szCs w:val="20"/>
          <w:lang w:val="en-GB"/>
        </w:rPr>
        <w:t>a number of</w:t>
      </w:r>
      <w:proofErr w:type="gramEnd"/>
      <w:r w:rsidRPr="005A40C1">
        <w:rPr>
          <w:rFonts w:ascii="Times New Roman" w:hAnsi="Times New Roman"/>
          <w:b/>
          <w:bCs/>
          <w:sz w:val="20"/>
          <w:szCs w:val="20"/>
          <w:lang w:val="en-GB"/>
        </w:rPr>
        <w:t xml:space="preserve"> ephemeris update period</w:t>
      </w:r>
      <w:r>
        <w:rPr>
          <w:rFonts w:ascii="Times New Roman" w:hAnsi="Times New Roman"/>
          <w:b/>
          <w:bCs/>
          <w:sz w:val="20"/>
          <w:szCs w:val="20"/>
          <w:lang w:val="en-GB"/>
        </w:rPr>
        <w:t>s</w:t>
      </w:r>
      <w:r w:rsidRPr="005A40C1">
        <w:rPr>
          <w:rFonts w:ascii="Times New Roman" w:hAnsi="Times New Roman"/>
          <w:b/>
          <w:bCs/>
          <w:sz w:val="20"/>
          <w:szCs w:val="20"/>
          <w:lang w:val="en-GB"/>
        </w:rPr>
        <w:t>/SI period</w:t>
      </w:r>
      <w:r>
        <w:rPr>
          <w:rFonts w:ascii="Times New Roman" w:hAnsi="Times New Roman"/>
          <w:b/>
          <w:bCs/>
          <w:sz w:val="20"/>
          <w:szCs w:val="20"/>
          <w:lang w:val="en-GB"/>
        </w:rPr>
        <w:t>s</w:t>
      </w:r>
      <w:r w:rsidRPr="005A40C1">
        <w:rPr>
          <w:rFonts w:ascii="Times New Roman" w:hAnsi="Times New Roman"/>
          <w:b/>
          <w:bCs/>
          <w:sz w:val="20"/>
          <w:szCs w:val="20"/>
          <w:lang w:val="en-GB"/>
        </w:rPr>
        <w:t xml:space="preserve"> is </w:t>
      </w:r>
      <w:proofErr w:type="spellStart"/>
      <w:r w:rsidRPr="005A40C1">
        <w:rPr>
          <w:rFonts w:ascii="Times New Roman" w:hAnsi="Times New Roman"/>
          <w:b/>
          <w:bCs/>
          <w:sz w:val="20"/>
          <w:szCs w:val="20"/>
          <w:lang w:val="en-GB"/>
        </w:rPr>
        <w:t>signaled</w:t>
      </w:r>
      <w:proofErr w:type="spellEnd"/>
      <w:r w:rsidRPr="005A40C1">
        <w:rPr>
          <w:rFonts w:ascii="Times New Roman" w:hAnsi="Times New Roman"/>
          <w:b/>
          <w:bCs/>
          <w:sz w:val="20"/>
          <w:szCs w:val="20"/>
          <w:lang w:val="en-GB"/>
        </w:rPr>
        <w:t xml:space="preserve"> in SIB1.</w:t>
      </w:r>
    </w:p>
    <w:p w14:paraId="6D91DF53" w14:textId="77777777" w:rsidR="00814844" w:rsidRPr="005A40C1" w:rsidRDefault="00814844" w:rsidP="00814844">
      <w:pPr>
        <w:pStyle w:val="ListParagraph"/>
        <w:widowControl w:val="0"/>
        <w:numPr>
          <w:ilvl w:val="1"/>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FFS</w:t>
      </w:r>
      <w:r>
        <w:rPr>
          <w:rFonts w:ascii="Times New Roman" w:hAnsi="Times New Roman"/>
          <w:b/>
          <w:bCs/>
          <w:sz w:val="20"/>
          <w:szCs w:val="20"/>
          <w:lang w:val="en-GB"/>
        </w:rPr>
        <w:t>:</w:t>
      </w:r>
      <w:r w:rsidRPr="005A40C1">
        <w:rPr>
          <w:rFonts w:ascii="Times New Roman" w:hAnsi="Times New Roman"/>
          <w:b/>
          <w:bCs/>
          <w:sz w:val="20"/>
          <w:szCs w:val="20"/>
          <w:lang w:val="en-GB"/>
        </w:rPr>
        <w:t xml:space="preserve"> the </w:t>
      </w:r>
      <w:r>
        <w:rPr>
          <w:rFonts w:ascii="Times New Roman" w:hAnsi="Times New Roman"/>
          <w:b/>
          <w:bCs/>
          <w:sz w:val="20"/>
          <w:szCs w:val="20"/>
          <w:lang w:val="en-GB"/>
        </w:rPr>
        <w:t>related</w:t>
      </w:r>
      <w:r w:rsidRPr="005A40C1">
        <w:rPr>
          <w:rFonts w:ascii="Times New Roman" w:hAnsi="Times New Roman"/>
          <w:b/>
          <w:bCs/>
          <w:sz w:val="20"/>
          <w:szCs w:val="20"/>
          <w:lang w:val="en-GB"/>
        </w:rPr>
        <w:t xml:space="preserve"> performance requirement.</w:t>
      </w:r>
    </w:p>
    <w:p w14:paraId="10315F80" w14:textId="77777777" w:rsidR="00814844" w:rsidRPr="005A40C1" w:rsidRDefault="00814844" w:rsidP="00814844">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Change of the SI message (per SI period) does not trigger the paging for SIB modification.</w:t>
      </w:r>
    </w:p>
    <w:p w14:paraId="51297E27" w14:textId="77777777" w:rsidR="00814844" w:rsidRPr="005A40C1" w:rsidRDefault="00814844" w:rsidP="00814844">
      <w:pPr>
        <w:pStyle w:val="ListParagraph"/>
        <w:widowControl w:val="0"/>
        <w:numPr>
          <w:ilvl w:val="0"/>
          <w:numId w:val="12"/>
        </w:numPr>
        <w:jc w:val="both"/>
        <w:rPr>
          <w:rFonts w:ascii="Times New Roman" w:hAnsi="Times New Roman"/>
          <w:b/>
          <w:bCs/>
          <w:sz w:val="20"/>
          <w:szCs w:val="20"/>
          <w:lang w:val="en-GB"/>
        </w:rPr>
      </w:pPr>
      <w:r w:rsidRPr="005A40C1">
        <w:rPr>
          <w:rFonts w:ascii="Times New Roman" w:hAnsi="Times New Roman"/>
          <w:b/>
          <w:bCs/>
          <w:sz w:val="20"/>
          <w:szCs w:val="20"/>
          <w:lang w:val="en-GB"/>
        </w:rPr>
        <w:t>FFS if feeder link timing related information is to be carried in the same or a sperate SIB.</w:t>
      </w:r>
    </w:p>
    <w:p w14:paraId="7994E451" w14:textId="6008021E" w:rsidR="00814844" w:rsidRDefault="00814844" w:rsidP="00E21F39">
      <w:pPr>
        <w:widowControl w:val="0"/>
        <w:jc w:val="both"/>
        <w:rPr>
          <w:rFonts w:eastAsia="Calibri"/>
          <w:b/>
          <w:bCs/>
          <w:lang w:val="en-GB"/>
        </w:rPr>
      </w:pPr>
    </w:p>
    <w:p w14:paraId="2E461B21" w14:textId="77777777" w:rsidR="00814844" w:rsidRDefault="00814844" w:rsidP="00E21F39">
      <w:pPr>
        <w:widowControl w:val="0"/>
        <w:jc w:val="both"/>
      </w:pPr>
    </w:p>
    <w:p w14:paraId="6691822B" w14:textId="1A998B4F" w:rsidR="00A71604" w:rsidRPr="00353AB8" w:rsidRDefault="00A71604" w:rsidP="00A71604">
      <w:pPr>
        <w:widowControl w:val="0"/>
        <w:jc w:val="both"/>
        <w:rPr>
          <w:b/>
          <w:bCs/>
          <w:lang w:val="en-GB"/>
        </w:rPr>
      </w:pPr>
      <w:r w:rsidRPr="00353AB8">
        <w:rPr>
          <w:b/>
          <w:bCs/>
          <w:lang w:val="en-GB"/>
        </w:rPr>
        <w:t xml:space="preserve">Proposal </w:t>
      </w:r>
      <w:r w:rsidR="0074222C">
        <w:rPr>
          <w:b/>
          <w:bCs/>
          <w:lang w:val="en-GB"/>
        </w:rPr>
        <w:t>9</w:t>
      </w:r>
      <w:r w:rsidRPr="00353AB8">
        <w:rPr>
          <w:b/>
          <w:bCs/>
          <w:lang w:val="en-GB"/>
        </w:rPr>
        <w:t>: Support autonomous reduction of MCS for PUSCH at least for cases when UE is power limited</w:t>
      </w:r>
    </w:p>
    <w:p w14:paraId="773BA886" w14:textId="77777777" w:rsidR="00A71604" w:rsidRPr="000C6964" w:rsidRDefault="00A71604" w:rsidP="00A71604">
      <w:pPr>
        <w:pStyle w:val="ListParagraph"/>
        <w:widowControl w:val="0"/>
        <w:numPr>
          <w:ilvl w:val="0"/>
          <w:numId w:val="6"/>
        </w:numPr>
        <w:jc w:val="both"/>
        <w:rPr>
          <w:b/>
          <w:bCs/>
          <w:lang w:val="en-GB"/>
        </w:rPr>
      </w:pPr>
      <w:r w:rsidRPr="00353AB8">
        <w:rPr>
          <w:rFonts w:ascii="Times New Roman" w:hAnsi="Times New Roman"/>
          <w:b/>
          <w:bCs/>
          <w:sz w:val="20"/>
          <w:szCs w:val="20"/>
          <w:lang w:val="en-GB"/>
        </w:rPr>
        <w:t>Study the exact triggering condition and indication of the reduced MCS</w:t>
      </w:r>
    </w:p>
    <w:p w14:paraId="46BD1504" w14:textId="77777777" w:rsidR="00A71604" w:rsidRDefault="00A71604" w:rsidP="00A71604">
      <w:pPr>
        <w:rPr>
          <w:b/>
          <w:bCs/>
          <w:lang w:val="en-GB"/>
        </w:rPr>
      </w:pPr>
    </w:p>
    <w:p w14:paraId="5EDC0980" w14:textId="0D3BF747" w:rsidR="00A71604" w:rsidRPr="000C6964" w:rsidRDefault="00A71604" w:rsidP="00A71604">
      <w:pPr>
        <w:rPr>
          <w:b/>
          <w:bCs/>
          <w:lang w:val="en-GB"/>
        </w:rPr>
      </w:pPr>
      <w:r w:rsidRPr="000C6964">
        <w:rPr>
          <w:b/>
          <w:bCs/>
          <w:lang w:val="en-GB"/>
        </w:rPr>
        <w:t>Proposal 1</w:t>
      </w:r>
      <w:r w:rsidR="0074222C">
        <w:rPr>
          <w:b/>
          <w:bCs/>
          <w:lang w:val="en-GB"/>
        </w:rPr>
        <w:t>0</w:t>
      </w:r>
      <w:r w:rsidRPr="000C6964">
        <w:rPr>
          <w:b/>
          <w:bCs/>
          <w:lang w:val="en-GB"/>
        </w:rPr>
        <w:t>: Consider at least signalling of polarization per BWP.</w:t>
      </w:r>
    </w:p>
    <w:p w14:paraId="3A65658B" w14:textId="5D89A01D" w:rsidR="00A71604" w:rsidRPr="000D308C" w:rsidRDefault="00A71604" w:rsidP="00A71604">
      <w:pPr>
        <w:rPr>
          <w:b/>
          <w:bCs/>
          <w:lang w:val="en-GB"/>
        </w:rPr>
      </w:pPr>
      <w:r w:rsidRPr="000D308C">
        <w:rPr>
          <w:b/>
          <w:bCs/>
          <w:lang w:val="en-GB"/>
        </w:rPr>
        <w:t>Proposal 1</w:t>
      </w:r>
      <w:r w:rsidR="0074222C">
        <w:rPr>
          <w:b/>
          <w:bCs/>
          <w:lang w:val="en-GB"/>
        </w:rPr>
        <w:t>1</w:t>
      </w:r>
      <w:r w:rsidRPr="000D308C">
        <w:rPr>
          <w:b/>
          <w:bCs/>
          <w:lang w:val="en-GB"/>
        </w:rPr>
        <w:t>: For PRACH format 2 in NTN, antenna switching point is CP/2 before the end of the second repletion or 22232x64 T</w:t>
      </w:r>
      <w:r w:rsidRPr="0006443E">
        <w:rPr>
          <w:rFonts w:ascii="Times New Roman Bold" w:hAnsi="Times New Roman Bold"/>
          <w:b/>
          <w:bCs/>
          <w:vertAlign w:val="subscript"/>
          <w:lang w:val="en-GB"/>
        </w:rPr>
        <w:t>c</w:t>
      </w:r>
      <w:r w:rsidRPr="000D308C">
        <w:rPr>
          <w:b/>
          <w:bCs/>
          <w:lang w:val="en-GB"/>
        </w:rPr>
        <w:t xml:space="preserve"> of the second repetition. </w:t>
      </w:r>
    </w:p>
    <w:p w14:paraId="5EF54A81" w14:textId="77777777" w:rsidR="00A71604" w:rsidRDefault="00A71604" w:rsidP="00A71604">
      <w:pPr>
        <w:widowControl w:val="0"/>
        <w:jc w:val="both"/>
        <w:rPr>
          <w:b/>
          <w:bCs/>
          <w:lang w:val="en-GB"/>
        </w:rPr>
      </w:pPr>
    </w:p>
    <w:p w14:paraId="03381BDF" w14:textId="77777777" w:rsidR="00A71604" w:rsidRPr="000C6964" w:rsidRDefault="00A71604" w:rsidP="00A71604">
      <w:pPr>
        <w:widowControl w:val="0"/>
        <w:jc w:val="both"/>
        <w:rPr>
          <w:b/>
          <w:bCs/>
          <w:lang w:val="en-GB"/>
        </w:rPr>
      </w:pPr>
    </w:p>
    <w:p w14:paraId="1A91E7CC" w14:textId="77777777" w:rsidR="00A71604" w:rsidRPr="00F0497A" w:rsidRDefault="00A71604" w:rsidP="00A71604">
      <w:pPr>
        <w:pStyle w:val="Heading1"/>
        <w:spacing w:before="480"/>
        <w:jc w:val="both"/>
        <w:rPr>
          <w:lang w:val="en-US"/>
        </w:rPr>
      </w:pPr>
      <w:r w:rsidRPr="000A64D8">
        <w:rPr>
          <w:lang w:val="en-US"/>
        </w:rPr>
        <w:t>References</w:t>
      </w:r>
      <w:bookmarkStart w:id="10" w:name="_Ref457730460"/>
      <w:bookmarkStart w:id="11" w:name="_Ref450735844"/>
      <w:bookmarkStart w:id="12" w:name="_Ref450342757"/>
      <w:r w:rsidRPr="005D74B7">
        <w:rPr>
          <w:rFonts w:hint="eastAsia"/>
        </w:rPr>
        <w:tab/>
      </w:r>
    </w:p>
    <w:p w14:paraId="6A762FE9" w14:textId="564765B5" w:rsidR="00A71604" w:rsidRDefault="00A71604" w:rsidP="00A71604">
      <w:pPr>
        <w:pStyle w:val="ListParagraph"/>
        <w:numPr>
          <w:ilvl w:val="0"/>
          <w:numId w:val="1"/>
        </w:numPr>
        <w:jc w:val="both"/>
        <w:rPr>
          <w:rFonts w:ascii="Times New Roman" w:hAnsi="Times New Roman"/>
          <w:sz w:val="20"/>
          <w:szCs w:val="20"/>
        </w:rPr>
      </w:pPr>
      <w:bookmarkStart w:id="13" w:name="_Hlk24117808"/>
      <w:bookmarkStart w:id="14" w:name="_Ref461383190"/>
      <w:r>
        <w:rPr>
          <w:rFonts w:ascii="Times New Roman" w:hAnsi="Times New Roman"/>
          <w:sz w:val="20"/>
          <w:szCs w:val="20"/>
        </w:rPr>
        <w:t>Chairman’s note, 3GPP RAN1#10</w:t>
      </w:r>
      <w:r w:rsidR="00B72613">
        <w:rPr>
          <w:rFonts w:ascii="Times New Roman" w:hAnsi="Times New Roman"/>
          <w:sz w:val="20"/>
          <w:szCs w:val="20"/>
        </w:rPr>
        <w:t>4</w:t>
      </w:r>
      <w:r>
        <w:rPr>
          <w:rFonts w:ascii="Times New Roman" w:hAnsi="Times New Roman"/>
          <w:sz w:val="20"/>
          <w:szCs w:val="20"/>
        </w:rPr>
        <w:t>e.</w:t>
      </w:r>
    </w:p>
    <w:p w14:paraId="5318F455" w14:textId="37638DB3" w:rsidR="00A71604" w:rsidRDefault="00A71604" w:rsidP="00A71604">
      <w:pPr>
        <w:pStyle w:val="ListParagraph"/>
        <w:numPr>
          <w:ilvl w:val="0"/>
          <w:numId w:val="1"/>
        </w:numPr>
        <w:jc w:val="both"/>
        <w:rPr>
          <w:rFonts w:ascii="Times New Roman" w:hAnsi="Times New Roman"/>
          <w:sz w:val="20"/>
          <w:szCs w:val="20"/>
        </w:rPr>
      </w:pPr>
      <w:r>
        <w:rPr>
          <w:rFonts w:ascii="Times New Roman" w:hAnsi="Times New Roman"/>
          <w:sz w:val="20"/>
          <w:szCs w:val="20"/>
        </w:rPr>
        <w:t>Chairman’s note, 3GPP RAN1#10</w:t>
      </w:r>
      <w:r w:rsidR="00B72613">
        <w:rPr>
          <w:rFonts w:ascii="Times New Roman" w:hAnsi="Times New Roman"/>
          <w:sz w:val="20"/>
          <w:szCs w:val="20"/>
        </w:rPr>
        <w:t>5</w:t>
      </w:r>
      <w:r>
        <w:rPr>
          <w:rFonts w:ascii="Times New Roman" w:hAnsi="Times New Roman"/>
          <w:sz w:val="20"/>
          <w:szCs w:val="20"/>
        </w:rPr>
        <w:t>e.</w:t>
      </w:r>
    </w:p>
    <w:bookmarkEnd w:id="13"/>
    <w:p w14:paraId="7F622FED" w14:textId="77777777" w:rsidR="00A71604" w:rsidRPr="00986597" w:rsidRDefault="00A71604" w:rsidP="00A71604">
      <w:pPr>
        <w:pStyle w:val="ListParagraph"/>
        <w:numPr>
          <w:ilvl w:val="0"/>
          <w:numId w:val="1"/>
        </w:numPr>
        <w:ind w:left="0" w:firstLine="0"/>
        <w:jc w:val="both"/>
        <w:rPr>
          <w:rFonts w:ascii="Times New Roman" w:hAnsi="Times New Roman"/>
          <w:sz w:val="20"/>
          <w:szCs w:val="20"/>
        </w:rPr>
      </w:pPr>
      <w:r w:rsidRPr="00986597">
        <w:rPr>
          <w:rFonts w:ascii="Times New Roman" w:hAnsi="Times New Roman"/>
          <w:sz w:val="20"/>
          <w:szCs w:val="20"/>
        </w:rPr>
        <w:t>3GPP TR38.821, “Solutions for NR to support non-terrestrial networks (NTN)”.</w:t>
      </w:r>
      <w:bookmarkEnd w:id="10"/>
      <w:bookmarkEnd w:id="11"/>
      <w:bookmarkEnd w:id="12"/>
      <w:bookmarkEnd w:id="14"/>
    </w:p>
    <w:p w14:paraId="74D58923" w14:textId="2C6E03D7" w:rsidR="00A71604" w:rsidRPr="00986597" w:rsidRDefault="00A71604" w:rsidP="00A71604">
      <w:pPr>
        <w:pStyle w:val="ListParagraph"/>
        <w:numPr>
          <w:ilvl w:val="0"/>
          <w:numId w:val="1"/>
        </w:numPr>
        <w:ind w:left="0" w:firstLine="0"/>
        <w:jc w:val="both"/>
        <w:rPr>
          <w:rFonts w:ascii="Times New Roman" w:hAnsi="Times New Roman"/>
          <w:sz w:val="20"/>
          <w:szCs w:val="20"/>
        </w:rPr>
      </w:pPr>
      <w:r w:rsidRPr="00986597">
        <w:rPr>
          <w:rFonts w:ascii="Times New Roman" w:hAnsi="Times New Roman"/>
          <w:sz w:val="20"/>
          <w:szCs w:val="20"/>
        </w:rPr>
        <w:t xml:space="preserve">RP202928, </w:t>
      </w:r>
      <w:r w:rsidR="00986597">
        <w:rPr>
          <w:rFonts w:ascii="Times New Roman" w:hAnsi="Times New Roman"/>
          <w:sz w:val="20"/>
          <w:szCs w:val="20"/>
        </w:rPr>
        <w:t>“</w:t>
      </w:r>
      <w:r w:rsidRPr="00986597">
        <w:rPr>
          <w:rFonts w:ascii="Times New Roman" w:eastAsia="Batang" w:hAnsi="Times New Roman"/>
          <w:bCs/>
          <w:sz w:val="20"/>
          <w:szCs w:val="20"/>
          <w:lang w:eastAsia="zh-CN"/>
        </w:rPr>
        <w:t>New WID on NR coverage enhancements,” China Telecom, 3GPP TSG RAN#90e, Dec. 2020.</w:t>
      </w:r>
    </w:p>
    <w:p w14:paraId="32721DF1" w14:textId="77777777" w:rsidR="009B1875" w:rsidRDefault="005820ED"/>
    <w:sectPr w:rsidR="009B1875" w:rsidSect="00A71604">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24F12" w14:textId="77777777" w:rsidR="005820ED" w:rsidRDefault="005820ED">
      <w:pPr>
        <w:spacing w:after="0"/>
      </w:pPr>
      <w:r>
        <w:separator/>
      </w:r>
    </w:p>
  </w:endnote>
  <w:endnote w:type="continuationSeparator" w:id="0">
    <w:p w14:paraId="2316F64C" w14:textId="77777777" w:rsidR="005820ED" w:rsidRDefault="005820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4DA14A" w14:textId="77777777" w:rsidR="008A029E" w:rsidRDefault="00006ED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31682E" w14:textId="77777777" w:rsidR="008A029E" w:rsidRDefault="005820E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1AC39" w14:textId="77777777" w:rsidR="008A029E" w:rsidRDefault="00006ED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C93D5" w14:textId="77777777" w:rsidR="008A029E" w:rsidRDefault="005820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D97F39" w14:textId="77777777" w:rsidR="005820ED" w:rsidRDefault="005820ED">
      <w:pPr>
        <w:spacing w:after="0"/>
      </w:pPr>
      <w:r>
        <w:separator/>
      </w:r>
    </w:p>
  </w:footnote>
  <w:footnote w:type="continuationSeparator" w:id="0">
    <w:p w14:paraId="59610D63" w14:textId="77777777" w:rsidR="005820ED" w:rsidRDefault="005820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57CE01" w14:textId="77777777" w:rsidR="008A029E" w:rsidRDefault="00006ED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502083" w14:textId="77777777" w:rsidR="008A029E" w:rsidRDefault="005820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8F04D" w14:textId="77777777" w:rsidR="008A029E" w:rsidRDefault="005820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2634D52"/>
    <w:multiLevelType w:val="hybridMultilevel"/>
    <w:tmpl w:val="1D324EC8"/>
    <w:lvl w:ilvl="0" w:tplc="AFBAE916">
      <w:start w:val="1"/>
      <w:numFmt w:val="bullet"/>
      <w:lvlText w:val="•"/>
      <w:lvlJc w:val="left"/>
      <w:pPr>
        <w:tabs>
          <w:tab w:val="num" w:pos="720"/>
        </w:tabs>
        <w:ind w:left="720" w:hanging="360"/>
      </w:pPr>
      <w:rPr>
        <w:rFonts w:ascii="Arial" w:hAnsi="Arial" w:hint="default"/>
      </w:rPr>
    </w:lvl>
    <w:lvl w:ilvl="1" w:tplc="825807EC">
      <w:start w:val="1"/>
      <w:numFmt w:val="bullet"/>
      <w:lvlText w:val="•"/>
      <w:lvlJc w:val="left"/>
      <w:pPr>
        <w:tabs>
          <w:tab w:val="num" w:pos="1440"/>
        </w:tabs>
        <w:ind w:left="1440" w:hanging="360"/>
      </w:pPr>
      <w:rPr>
        <w:rFonts w:ascii="Arial" w:hAnsi="Arial" w:hint="default"/>
      </w:rPr>
    </w:lvl>
    <w:lvl w:ilvl="2" w:tplc="3DA666D4">
      <w:numFmt w:val="bullet"/>
      <w:lvlText w:val="•"/>
      <w:lvlJc w:val="left"/>
      <w:pPr>
        <w:tabs>
          <w:tab w:val="num" w:pos="2160"/>
        </w:tabs>
        <w:ind w:left="2160" w:hanging="360"/>
      </w:pPr>
      <w:rPr>
        <w:rFonts w:ascii="Microsoft Sans Serif" w:hAnsi="Microsoft Sans Serif" w:hint="default"/>
      </w:rPr>
    </w:lvl>
    <w:lvl w:ilvl="3" w:tplc="6AF6E534" w:tentative="1">
      <w:start w:val="1"/>
      <w:numFmt w:val="bullet"/>
      <w:lvlText w:val="•"/>
      <w:lvlJc w:val="left"/>
      <w:pPr>
        <w:tabs>
          <w:tab w:val="num" w:pos="2880"/>
        </w:tabs>
        <w:ind w:left="2880" w:hanging="360"/>
      </w:pPr>
      <w:rPr>
        <w:rFonts w:ascii="Arial" w:hAnsi="Arial" w:hint="default"/>
      </w:rPr>
    </w:lvl>
    <w:lvl w:ilvl="4" w:tplc="84C03C06" w:tentative="1">
      <w:start w:val="1"/>
      <w:numFmt w:val="bullet"/>
      <w:lvlText w:val="•"/>
      <w:lvlJc w:val="left"/>
      <w:pPr>
        <w:tabs>
          <w:tab w:val="num" w:pos="3600"/>
        </w:tabs>
        <w:ind w:left="3600" w:hanging="360"/>
      </w:pPr>
      <w:rPr>
        <w:rFonts w:ascii="Arial" w:hAnsi="Arial" w:hint="default"/>
      </w:rPr>
    </w:lvl>
    <w:lvl w:ilvl="5" w:tplc="261C4ACE" w:tentative="1">
      <w:start w:val="1"/>
      <w:numFmt w:val="bullet"/>
      <w:lvlText w:val="•"/>
      <w:lvlJc w:val="left"/>
      <w:pPr>
        <w:tabs>
          <w:tab w:val="num" w:pos="4320"/>
        </w:tabs>
        <w:ind w:left="4320" w:hanging="360"/>
      </w:pPr>
      <w:rPr>
        <w:rFonts w:ascii="Arial" w:hAnsi="Arial" w:hint="default"/>
      </w:rPr>
    </w:lvl>
    <w:lvl w:ilvl="6" w:tplc="3066215E" w:tentative="1">
      <w:start w:val="1"/>
      <w:numFmt w:val="bullet"/>
      <w:lvlText w:val="•"/>
      <w:lvlJc w:val="left"/>
      <w:pPr>
        <w:tabs>
          <w:tab w:val="num" w:pos="5040"/>
        </w:tabs>
        <w:ind w:left="5040" w:hanging="360"/>
      </w:pPr>
      <w:rPr>
        <w:rFonts w:ascii="Arial" w:hAnsi="Arial" w:hint="default"/>
      </w:rPr>
    </w:lvl>
    <w:lvl w:ilvl="7" w:tplc="7C1800F6" w:tentative="1">
      <w:start w:val="1"/>
      <w:numFmt w:val="bullet"/>
      <w:lvlText w:val="•"/>
      <w:lvlJc w:val="left"/>
      <w:pPr>
        <w:tabs>
          <w:tab w:val="num" w:pos="5760"/>
        </w:tabs>
        <w:ind w:left="5760" w:hanging="360"/>
      </w:pPr>
      <w:rPr>
        <w:rFonts w:ascii="Arial" w:hAnsi="Arial" w:hint="default"/>
      </w:rPr>
    </w:lvl>
    <w:lvl w:ilvl="8" w:tplc="41ACE76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D8B2D7B"/>
    <w:multiLevelType w:val="hybridMultilevel"/>
    <w:tmpl w:val="3CEEE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73862"/>
    <w:multiLevelType w:val="hybridMultilevel"/>
    <w:tmpl w:val="9260C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440AB2"/>
    <w:multiLevelType w:val="hybridMultilevel"/>
    <w:tmpl w:val="20386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953C1C"/>
    <w:multiLevelType w:val="hybridMultilevel"/>
    <w:tmpl w:val="06ECD5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D821A3"/>
    <w:multiLevelType w:val="hybridMultilevel"/>
    <w:tmpl w:val="2FF88970"/>
    <w:lvl w:ilvl="0" w:tplc="11E03D2C">
      <w:start w:val="1"/>
      <w:numFmt w:val="bullet"/>
      <w:lvlText w:val="•"/>
      <w:lvlJc w:val="left"/>
      <w:pPr>
        <w:tabs>
          <w:tab w:val="num" w:pos="720"/>
        </w:tabs>
        <w:ind w:left="720" w:hanging="360"/>
      </w:pPr>
      <w:rPr>
        <w:rFonts w:ascii="Arial" w:hAnsi="Arial" w:hint="default"/>
      </w:rPr>
    </w:lvl>
    <w:lvl w:ilvl="1" w:tplc="0C847FFA">
      <w:start w:val="1"/>
      <w:numFmt w:val="bullet"/>
      <w:lvlText w:val="•"/>
      <w:lvlJc w:val="left"/>
      <w:pPr>
        <w:tabs>
          <w:tab w:val="num" w:pos="1440"/>
        </w:tabs>
        <w:ind w:left="1440" w:hanging="360"/>
      </w:pPr>
      <w:rPr>
        <w:rFonts w:ascii="Arial" w:hAnsi="Arial" w:hint="default"/>
      </w:rPr>
    </w:lvl>
    <w:lvl w:ilvl="2" w:tplc="07E42EDE" w:tentative="1">
      <w:start w:val="1"/>
      <w:numFmt w:val="bullet"/>
      <w:lvlText w:val="•"/>
      <w:lvlJc w:val="left"/>
      <w:pPr>
        <w:tabs>
          <w:tab w:val="num" w:pos="2160"/>
        </w:tabs>
        <w:ind w:left="2160" w:hanging="360"/>
      </w:pPr>
      <w:rPr>
        <w:rFonts w:ascii="Arial" w:hAnsi="Arial" w:hint="default"/>
      </w:rPr>
    </w:lvl>
    <w:lvl w:ilvl="3" w:tplc="4036E8C8" w:tentative="1">
      <w:start w:val="1"/>
      <w:numFmt w:val="bullet"/>
      <w:lvlText w:val="•"/>
      <w:lvlJc w:val="left"/>
      <w:pPr>
        <w:tabs>
          <w:tab w:val="num" w:pos="2880"/>
        </w:tabs>
        <w:ind w:left="2880" w:hanging="360"/>
      </w:pPr>
      <w:rPr>
        <w:rFonts w:ascii="Arial" w:hAnsi="Arial" w:hint="default"/>
      </w:rPr>
    </w:lvl>
    <w:lvl w:ilvl="4" w:tplc="F8C085F0" w:tentative="1">
      <w:start w:val="1"/>
      <w:numFmt w:val="bullet"/>
      <w:lvlText w:val="•"/>
      <w:lvlJc w:val="left"/>
      <w:pPr>
        <w:tabs>
          <w:tab w:val="num" w:pos="3600"/>
        </w:tabs>
        <w:ind w:left="3600" w:hanging="360"/>
      </w:pPr>
      <w:rPr>
        <w:rFonts w:ascii="Arial" w:hAnsi="Arial" w:hint="default"/>
      </w:rPr>
    </w:lvl>
    <w:lvl w:ilvl="5" w:tplc="BE6A6854" w:tentative="1">
      <w:start w:val="1"/>
      <w:numFmt w:val="bullet"/>
      <w:lvlText w:val="•"/>
      <w:lvlJc w:val="left"/>
      <w:pPr>
        <w:tabs>
          <w:tab w:val="num" w:pos="4320"/>
        </w:tabs>
        <w:ind w:left="4320" w:hanging="360"/>
      </w:pPr>
      <w:rPr>
        <w:rFonts w:ascii="Arial" w:hAnsi="Arial" w:hint="default"/>
      </w:rPr>
    </w:lvl>
    <w:lvl w:ilvl="6" w:tplc="E02C7E5A" w:tentative="1">
      <w:start w:val="1"/>
      <w:numFmt w:val="bullet"/>
      <w:lvlText w:val="•"/>
      <w:lvlJc w:val="left"/>
      <w:pPr>
        <w:tabs>
          <w:tab w:val="num" w:pos="5040"/>
        </w:tabs>
        <w:ind w:left="5040" w:hanging="360"/>
      </w:pPr>
      <w:rPr>
        <w:rFonts w:ascii="Arial" w:hAnsi="Arial" w:hint="default"/>
      </w:rPr>
    </w:lvl>
    <w:lvl w:ilvl="7" w:tplc="E8860D6A" w:tentative="1">
      <w:start w:val="1"/>
      <w:numFmt w:val="bullet"/>
      <w:lvlText w:val="•"/>
      <w:lvlJc w:val="left"/>
      <w:pPr>
        <w:tabs>
          <w:tab w:val="num" w:pos="5760"/>
        </w:tabs>
        <w:ind w:left="5760" w:hanging="360"/>
      </w:pPr>
      <w:rPr>
        <w:rFonts w:ascii="Arial" w:hAnsi="Arial" w:hint="default"/>
      </w:rPr>
    </w:lvl>
    <w:lvl w:ilvl="8" w:tplc="164811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9456C5"/>
    <w:multiLevelType w:val="hybridMultilevel"/>
    <w:tmpl w:val="204087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4000759D"/>
    <w:multiLevelType w:val="hybridMultilevel"/>
    <w:tmpl w:val="AC920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CC4C1D"/>
    <w:multiLevelType w:val="hybridMultilevel"/>
    <w:tmpl w:val="8548B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7C3709"/>
    <w:multiLevelType w:val="hybridMultilevel"/>
    <w:tmpl w:val="0A967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1"/>
  </w:num>
  <w:num w:numId="4">
    <w:abstractNumId w:val="5"/>
  </w:num>
  <w:num w:numId="5">
    <w:abstractNumId w:val="6"/>
  </w:num>
  <w:num w:numId="6">
    <w:abstractNumId w:val="15"/>
  </w:num>
  <w:num w:numId="7">
    <w:abstractNumId w:val="8"/>
  </w:num>
  <w:num w:numId="8">
    <w:abstractNumId w:val="1"/>
  </w:num>
  <w:num w:numId="9">
    <w:abstractNumId w:val="12"/>
  </w:num>
  <w:num w:numId="10">
    <w:abstractNumId w:val="16"/>
  </w:num>
  <w:num w:numId="11">
    <w:abstractNumId w:val="9"/>
  </w:num>
  <w:num w:numId="12">
    <w:abstractNumId w:val="3"/>
  </w:num>
  <w:num w:numId="13">
    <w:abstractNumId w:val="14"/>
  </w:num>
  <w:num w:numId="14">
    <w:abstractNumId w:val="10"/>
  </w:num>
  <w:num w:numId="15">
    <w:abstractNumId w:val="13"/>
  </w:num>
  <w:num w:numId="16">
    <w:abstractNumId w:val="4"/>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20"/>
  <w:characterSpacingControl w:val="doNotCompress"/>
  <w:savePreviewPicture/>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1604"/>
    <w:rsid w:val="00006EDF"/>
    <w:rsid w:val="0002395C"/>
    <w:rsid w:val="00043ED2"/>
    <w:rsid w:val="00052200"/>
    <w:rsid w:val="0008298E"/>
    <w:rsid w:val="000908AF"/>
    <w:rsid w:val="00095EDD"/>
    <w:rsid w:val="000A260E"/>
    <w:rsid w:val="000B35D0"/>
    <w:rsid w:val="000D0F26"/>
    <w:rsid w:val="000D21ED"/>
    <w:rsid w:val="000D5A4D"/>
    <w:rsid w:val="000D7E75"/>
    <w:rsid w:val="000F5F59"/>
    <w:rsid w:val="0014770B"/>
    <w:rsid w:val="0015493C"/>
    <w:rsid w:val="00157535"/>
    <w:rsid w:val="00165B91"/>
    <w:rsid w:val="00171E13"/>
    <w:rsid w:val="00181C3F"/>
    <w:rsid w:val="001962A8"/>
    <w:rsid w:val="001B02A0"/>
    <w:rsid w:val="001E593B"/>
    <w:rsid w:val="001F72BB"/>
    <w:rsid w:val="001F7F36"/>
    <w:rsid w:val="002004F5"/>
    <w:rsid w:val="00200BE8"/>
    <w:rsid w:val="00217BF2"/>
    <w:rsid w:val="00221C1F"/>
    <w:rsid w:val="00227AB1"/>
    <w:rsid w:val="002343FC"/>
    <w:rsid w:val="00236555"/>
    <w:rsid w:val="0024657C"/>
    <w:rsid w:val="00253182"/>
    <w:rsid w:val="00253DD2"/>
    <w:rsid w:val="00275D36"/>
    <w:rsid w:val="00282B6B"/>
    <w:rsid w:val="00284F89"/>
    <w:rsid w:val="002E4129"/>
    <w:rsid w:val="00304926"/>
    <w:rsid w:val="003107E1"/>
    <w:rsid w:val="00310B41"/>
    <w:rsid w:val="00326F43"/>
    <w:rsid w:val="00330DFC"/>
    <w:rsid w:val="00334752"/>
    <w:rsid w:val="0034330B"/>
    <w:rsid w:val="003440DC"/>
    <w:rsid w:val="00345BDC"/>
    <w:rsid w:val="00370A5A"/>
    <w:rsid w:val="003856F1"/>
    <w:rsid w:val="0038726B"/>
    <w:rsid w:val="0039410F"/>
    <w:rsid w:val="0039424A"/>
    <w:rsid w:val="003956C3"/>
    <w:rsid w:val="00395DD5"/>
    <w:rsid w:val="00397CC7"/>
    <w:rsid w:val="003A31FD"/>
    <w:rsid w:val="003A366E"/>
    <w:rsid w:val="003A50AB"/>
    <w:rsid w:val="003C6C07"/>
    <w:rsid w:val="003D024C"/>
    <w:rsid w:val="003E3FE6"/>
    <w:rsid w:val="003E60DD"/>
    <w:rsid w:val="00403CF6"/>
    <w:rsid w:val="00432D26"/>
    <w:rsid w:val="00442A9A"/>
    <w:rsid w:val="00447629"/>
    <w:rsid w:val="00450785"/>
    <w:rsid w:val="00466FBD"/>
    <w:rsid w:val="00472625"/>
    <w:rsid w:val="00473A59"/>
    <w:rsid w:val="004823DA"/>
    <w:rsid w:val="004861EB"/>
    <w:rsid w:val="0049539B"/>
    <w:rsid w:val="00495FB6"/>
    <w:rsid w:val="004A39F1"/>
    <w:rsid w:val="004A680C"/>
    <w:rsid w:val="004B5B46"/>
    <w:rsid w:val="004D063C"/>
    <w:rsid w:val="00505AA3"/>
    <w:rsid w:val="00514670"/>
    <w:rsid w:val="005257F0"/>
    <w:rsid w:val="00532DF0"/>
    <w:rsid w:val="00536638"/>
    <w:rsid w:val="00553087"/>
    <w:rsid w:val="005546E4"/>
    <w:rsid w:val="005548BB"/>
    <w:rsid w:val="00560C42"/>
    <w:rsid w:val="005645FC"/>
    <w:rsid w:val="00576158"/>
    <w:rsid w:val="005820ED"/>
    <w:rsid w:val="0059209A"/>
    <w:rsid w:val="0059380F"/>
    <w:rsid w:val="005A0E4E"/>
    <w:rsid w:val="005A40C1"/>
    <w:rsid w:val="005D214E"/>
    <w:rsid w:val="005D76FD"/>
    <w:rsid w:val="005E46A9"/>
    <w:rsid w:val="006128A1"/>
    <w:rsid w:val="00613BF2"/>
    <w:rsid w:val="006268E9"/>
    <w:rsid w:val="00635DB4"/>
    <w:rsid w:val="00651202"/>
    <w:rsid w:val="0066014B"/>
    <w:rsid w:val="00670901"/>
    <w:rsid w:val="00681798"/>
    <w:rsid w:val="00693906"/>
    <w:rsid w:val="006A1C08"/>
    <w:rsid w:val="006A5CF0"/>
    <w:rsid w:val="006B0AF9"/>
    <w:rsid w:val="006C10E3"/>
    <w:rsid w:val="006F0DD1"/>
    <w:rsid w:val="006F1009"/>
    <w:rsid w:val="006F105B"/>
    <w:rsid w:val="006F4B3A"/>
    <w:rsid w:val="007039C7"/>
    <w:rsid w:val="0074222C"/>
    <w:rsid w:val="0075119C"/>
    <w:rsid w:val="00763547"/>
    <w:rsid w:val="00765487"/>
    <w:rsid w:val="00766A7C"/>
    <w:rsid w:val="00772493"/>
    <w:rsid w:val="00785D1D"/>
    <w:rsid w:val="00790F96"/>
    <w:rsid w:val="007933B5"/>
    <w:rsid w:val="00795838"/>
    <w:rsid w:val="007A73FA"/>
    <w:rsid w:val="007C5FA5"/>
    <w:rsid w:val="007E00A7"/>
    <w:rsid w:val="007E3B97"/>
    <w:rsid w:val="007F3584"/>
    <w:rsid w:val="007F6C89"/>
    <w:rsid w:val="007F7FAB"/>
    <w:rsid w:val="00802651"/>
    <w:rsid w:val="00814844"/>
    <w:rsid w:val="00847C6F"/>
    <w:rsid w:val="00852146"/>
    <w:rsid w:val="00855676"/>
    <w:rsid w:val="008806D7"/>
    <w:rsid w:val="008A512C"/>
    <w:rsid w:val="008B57D5"/>
    <w:rsid w:val="008B5F50"/>
    <w:rsid w:val="008C7B76"/>
    <w:rsid w:val="008D5995"/>
    <w:rsid w:val="008D6157"/>
    <w:rsid w:val="0090627C"/>
    <w:rsid w:val="00937FAA"/>
    <w:rsid w:val="00954781"/>
    <w:rsid w:val="0097276E"/>
    <w:rsid w:val="00986597"/>
    <w:rsid w:val="00994C9B"/>
    <w:rsid w:val="009B0073"/>
    <w:rsid w:val="009B782A"/>
    <w:rsid w:val="009C1687"/>
    <w:rsid w:val="009F0625"/>
    <w:rsid w:val="00A015F6"/>
    <w:rsid w:val="00A01D66"/>
    <w:rsid w:val="00A13ACD"/>
    <w:rsid w:val="00A17474"/>
    <w:rsid w:val="00A360C5"/>
    <w:rsid w:val="00A40408"/>
    <w:rsid w:val="00A46DBC"/>
    <w:rsid w:val="00A57BF2"/>
    <w:rsid w:val="00A63F24"/>
    <w:rsid w:val="00A71604"/>
    <w:rsid w:val="00A760F3"/>
    <w:rsid w:val="00A91086"/>
    <w:rsid w:val="00A96795"/>
    <w:rsid w:val="00AA401E"/>
    <w:rsid w:val="00AA70B6"/>
    <w:rsid w:val="00AB5513"/>
    <w:rsid w:val="00AC5344"/>
    <w:rsid w:val="00AD1C2A"/>
    <w:rsid w:val="00AF207E"/>
    <w:rsid w:val="00B02517"/>
    <w:rsid w:val="00B043F3"/>
    <w:rsid w:val="00B1578C"/>
    <w:rsid w:val="00B211D7"/>
    <w:rsid w:val="00B41DC9"/>
    <w:rsid w:val="00B4239A"/>
    <w:rsid w:val="00B45205"/>
    <w:rsid w:val="00B61E5C"/>
    <w:rsid w:val="00B70EC8"/>
    <w:rsid w:val="00B72613"/>
    <w:rsid w:val="00B802F6"/>
    <w:rsid w:val="00B807AD"/>
    <w:rsid w:val="00B822D8"/>
    <w:rsid w:val="00B85999"/>
    <w:rsid w:val="00B94EAE"/>
    <w:rsid w:val="00BB2339"/>
    <w:rsid w:val="00BC1761"/>
    <w:rsid w:val="00BD421C"/>
    <w:rsid w:val="00BD6646"/>
    <w:rsid w:val="00BD73E5"/>
    <w:rsid w:val="00BE2B1A"/>
    <w:rsid w:val="00BF590B"/>
    <w:rsid w:val="00C01B49"/>
    <w:rsid w:val="00C04128"/>
    <w:rsid w:val="00C06613"/>
    <w:rsid w:val="00C07883"/>
    <w:rsid w:val="00C157BD"/>
    <w:rsid w:val="00C20AC3"/>
    <w:rsid w:val="00C22AB0"/>
    <w:rsid w:val="00C32D2A"/>
    <w:rsid w:val="00C46E48"/>
    <w:rsid w:val="00C628A0"/>
    <w:rsid w:val="00C71C56"/>
    <w:rsid w:val="00C83501"/>
    <w:rsid w:val="00C866D2"/>
    <w:rsid w:val="00C9769A"/>
    <w:rsid w:val="00CA382A"/>
    <w:rsid w:val="00CA54F7"/>
    <w:rsid w:val="00CB543E"/>
    <w:rsid w:val="00CC72A6"/>
    <w:rsid w:val="00CD163F"/>
    <w:rsid w:val="00CD76D4"/>
    <w:rsid w:val="00CE521A"/>
    <w:rsid w:val="00CF1C85"/>
    <w:rsid w:val="00CF513A"/>
    <w:rsid w:val="00D01D70"/>
    <w:rsid w:val="00D055FE"/>
    <w:rsid w:val="00D069E5"/>
    <w:rsid w:val="00D16765"/>
    <w:rsid w:val="00D25446"/>
    <w:rsid w:val="00D625C8"/>
    <w:rsid w:val="00D64EB1"/>
    <w:rsid w:val="00D65EFD"/>
    <w:rsid w:val="00D86187"/>
    <w:rsid w:val="00DE4A2E"/>
    <w:rsid w:val="00DE64EA"/>
    <w:rsid w:val="00E00FD0"/>
    <w:rsid w:val="00E0368A"/>
    <w:rsid w:val="00E108EC"/>
    <w:rsid w:val="00E21F39"/>
    <w:rsid w:val="00E22F38"/>
    <w:rsid w:val="00E23114"/>
    <w:rsid w:val="00E63FAC"/>
    <w:rsid w:val="00E718EC"/>
    <w:rsid w:val="00E7610E"/>
    <w:rsid w:val="00E77F02"/>
    <w:rsid w:val="00EB50A3"/>
    <w:rsid w:val="00EB656C"/>
    <w:rsid w:val="00EC214E"/>
    <w:rsid w:val="00EC5D7A"/>
    <w:rsid w:val="00EC68D4"/>
    <w:rsid w:val="00EE3726"/>
    <w:rsid w:val="00EE5B65"/>
    <w:rsid w:val="00EE6B23"/>
    <w:rsid w:val="00EE6D2A"/>
    <w:rsid w:val="00EE7C9F"/>
    <w:rsid w:val="00EF24ED"/>
    <w:rsid w:val="00F114E6"/>
    <w:rsid w:val="00F413A4"/>
    <w:rsid w:val="00F50BEA"/>
    <w:rsid w:val="00FC0091"/>
    <w:rsid w:val="00FC5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72ED9"/>
  <w15:chartTrackingRefBased/>
  <w15:docId w15:val="{8E8761F0-64CF-4D2A-93B9-5804544B0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60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aliases w:val="H1,h1"/>
    <w:next w:val="Normal"/>
    <w:link w:val="Heading1Char1"/>
    <w:qFormat/>
    <w:rsid w:val="00A71604"/>
    <w:pPr>
      <w:keepNext/>
      <w:keepLines/>
      <w:numPr>
        <w:numId w:val="2"/>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
    <w:basedOn w:val="Heading1"/>
    <w:next w:val="Normal"/>
    <w:link w:val="Heading2Char"/>
    <w:qFormat/>
    <w:rsid w:val="00A71604"/>
    <w:pPr>
      <w:numPr>
        <w:ilvl w:val="1"/>
      </w:numPr>
      <w:pBdr>
        <w:top w:val="none" w:sz="0" w:space="0" w:color="auto"/>
      </w:pBdr>
      <w:tabs>
        <w:tab w:val="num" w:pos="360"/>
      </w:tabs>
      <w:spacing w:before="180"/>
      <w:ind w:left="576"/>
      <w:outlineLvl w:val="1"/>
    </w:pPr>
    <w:rPr>
      <w:sz w:val="32"/>
    </w:rPr>
  </w:style>
  <w:style w:type="paragraph" w:styleId="Heading3">
    <w:name w:val="heading 3"/>
    <w:aliases w:val="Underrubrik2,H3"/>
    <w:basedOn w:val="Heading2"/>
    <w:next w:val="Normal"/>
    <w:link w:val="Heading3Char"/>
    <w:qFormat/>
    <w:rsid w:val="00A71604"/>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A71604"/>
    <w:pPr>
      <w:numPr>
        <w:ilvl w:val="3"/>
      </w:numPr>
      <w:tabs>
        <w:tab w:val="num" w:pos="360"/>
      </w:tabs>
      <w:outlineLvl w:val="3"/>
    </w:pPr>
    <w:rPr>
      <w:sz w:val="24"/>
    </w:rPr>
  </w:style>
  <w:style w:type="paragraph" w:styleId="Heading5">
    <w:name w:val="heading 5"/>
    <w:aliases w:val="h5,Heading5"/>
    <w:basedOn w:val="Heading4"/>
    <w:next w:val="Normal"/>
    <w:link w:val="Heading5Char"/>
    <w:qFormat/>
    <w:rsid w:val="00A71604"/>
    <w:pPr>
      <w:numPr>
        <w:ilvl w:val="4"/>
      </w:numPr>
      <w:tabs>
        <w:tab w:val="num" w:pos="360"/>
      </w:tabs>
      <w:outlineLvl w:val="4"/>
    </w:pPr>
    <w:rPr>
      <w:sz w:val="22"/>
    </w:rPr>
  </w:style>
  <w:style w:type="paragraph" w:styleId="Heading6">
    <w:name w:val="heading 6"/>
    <w:basedOn w:val="Normal"/>
    <w:next w:val="Normal"/>
    <w:link w:val="Heading6Char"/>
    <w:qFormat/>
    <w:rsid w:val="00A71604"/>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A71604"/>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A71604"/>
    <w:pPr>
      <w:numPr>
        <w:ilvl w:val="7"/>
      </w:numPr>
      <w:tabs>
        <w:tab w:val="num" w:pos="360"/>
      </w:tabs>
      <w:outlineLvl w:val="7"/>
    </w:pPr>
  </w:style>
  <w:style w:type="paragraph" w:styleId="Heading9">
    <w:name w:val="heading 9"/>
    <w:basedOn w:val="Heading8"/>
    <w:next w:val="Normal"/>
    <w:link w:val="Heading9Char"/>
    <w:qFormat/>
    <w:rsid w:val="00A71604"/>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A71604"/>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A71604"/>
    <w:rPr>
      <w:rFonts w:ascii="Arial" w:eastAsia="SimSun" w:hAnsi="Arial" w:cs="Times New Roman"/>
      <w:sz w:val="32"/>
      <w:szCs w:val="20"/>
      <w:lang w:val="en-GB"/>
    </w:rPr>
  </w:style>
  <w:style w:type="character" w:customStyle="1" w:styleId="Heading3Char">
    <w:name w:val="Heading 3 Char"/>
    <w:aliases w:val="Underrubrik2 Char,H3 Char"/>
    <w:basedOn w:val="DefaultParagraphFont"/>
    <w:link w:val="Heading3"/>
    <w:rsid w:val="00A71604"/>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A71604"/>
    <w:rPr>
      <w:rFonts w:ascii="Arial" w:eastAsia="SimSun" w:hAnsi="Arial" w:cs="Times New Roman"/>
      <w:sz w:val="24"/>
      <w:szCs w:val="20"/>
      <w:lang w:val="en-GB"/>
    </w:rPr>
  </w:style>
  <w:style w:type="character" w:customStyle="1" w:styleId="Heading5Char">
    <w:name w:val="Heading 5 Char"/>
    <w:aliases w:val="h5 Char,Heading5 Char"/>
    <w:basedOn w:val="DefaultParagraphFont"/>
    <w:link w:val="Heading5"/>
    <w:rsid w:val="00A71604"/>
    <w:rPr>
      <w:rFonts w:ascii="Arial" w:eastAsia="SimSun" w:hAnsi="Arial" w:cs="Times New Roman"/>
      <w:szCs w:val="20"/>
      <w:lang w:val="en-GB"/>
    </w:rPr>
  </w:style>
  <w:style w:type="character" w:customStyle="1" w:styleId="Heading6Char">
    <w:name w:val="Heading 6 Char"/>
    <w:basedOn w:val="DefaultParagraphFont"/>
    <w:link w:val="Heading6"/>
    <w:rsid w:val="00A71604"/>
    <w:rPr>
      <w:rFonts w:ascii="Arial" w:eastAsia="SimSun" w:hAnsi="Arial" w:cs="Times New Roman"/>
      <w:sz w:val="20"/>
      <w:szCs w:val="20"/>
      <w:lang w:val="en-GB"/>
    </w:rPr>
  </w:style>
  <w:style w:type="character" w:customStyle="1" w:styleId="Heading7Char">
    <w:name w:val="Heading 7 Char"/>
    <w:basedOn w:val="DefaultParagraphFont"/>
    <w:link w:val="Heading7"/>
    <w:rsid w:val="00A71604"/>
    <w:rPr>
      <w:rFonts w:ascii="Arial" w:eastAsia="SimSun" w:hAnsi="Arial" w:cs="Times New Roman"/>
      <w:sz w:val="20"/>
      <w:szCs w:val="20"/>
      <w:lang w:val="en-GB"/>
    </w:rPr>
  </w:style>
  <w:style w:type="character" w:customStyle="1" w:styleId="Heading8Char">
    <w:name w:val="Heading 8 Char"/>
    <w:basedOn w:val="DefaultParagraphFont"/>
    <w:link w:val="Heading8"/>
    <w:rsid w:val="00A71604"/>
    <w:rPr>
      <w:rFonts w:ascii="Arial" w:eastAsia="SimSun" w:hAnsi="Arial" w:cs="Times New Roman"/>
      <w:sz w:val="36"/>
      <w:szCs w:val="20"/>
      <w:lang w:val="en-GB"/>
    </w:rPr>
  </w:style>
  <w:style w:type="character" w:customStyle="1" w:styleId="Heading9Char">
    <w:name w:val="Heading 9 Char"/>
    <w:basedOn w:val="DefaultParagraphFont"/>
    <w:link w:val="Heading9"/>
    <w:rsid w:val="00A71604"/>
    <w:rPr>
      <w:rFonts w:ascii="Arial" w:eastAsia="SimSun"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1604"/>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1604"/>
    <w:rPr>
      <w:rFonts w:ascii="Arial" w:eastAsia="SimSun" w:hAnsi="Arial" w:cs="Times New Roman"/>
      <w:b/>
      <w:noProof/>
      <w:sz w:val="18"/>
      <w:szCs w:val="20"/>
    </w:rPr>
  </w:style>
  <w:style w:type="paragraph" w:styleId="Footer">
    <w:name w:val="footer"/>
    <w:basedOn w:val="Header"/>
    <w:link w:val="FooterChar"/>
    <w:rsid w:val="00A71604"/>
    <w:pPr>
      <w:jc w:val="center"/>
    </w:pPr>
    <w:rPr>
      <w:i/>
    </w:rPr>
  </w:style>
  <w:style w:type="character" w:customStyle="1" w:styleId="FooterChar">
    <w:name w:val="Footer Char"/>
    <w:basedOn w:val="DefaultParagraphFont"/>
    <w:link w:val="Footer"/>
    <w:rsid w:val="00A71604"/>
    <w:rPr>
      <w:rFonts w:ascii="Arial" w:eastAsia="SimSun" w:hAnsi="Arial" w:cs="Times New Roman"/>
      <w:b/>
      <w:i/>
      <w:noProof/>
      <w:sz w:val="18"/>
      <w:szCs w:val="20"/>
    </w:rPr>
  </w:style>
  <w:style w:type="paragraph" w:styleId="Caption">
    <w:name w:val="caption"/>
    <w:aliases w:val="cap"/>
    <w:basedOn w:val="Normal"/>
    <w:next w:val="Normal"/>
    <w:uiPriority w:val="35"/>
    <w:qFormat/>
    <w:rsid w:val="00A71604"/>
    <w:pPr>
      <w:spacing w:before="120" w:after="120"/>
    </w:pPr>
    <w:rPr>
      <w:b/>
      <w:bCs/>
    </w:rPr>
  </w:style>
  <w:style w:type="character" w:styleId="PageNumber">
    <w:name w:val="page number"/>
    <w:basedOn w:val="DefaultParagraphFont"/>
    <w:rsid w:val="00A71604"/>
  </w:style>
  <w:style w:type="character" w:customStyle="1" w:styleId="Heading1Char1">
    <w:name w:val="Heading 1 Char1"/>
    <w:aliases w:val="H1 Char,h1 Char"/>
    <w:link w:val="Heading1"/>
    <w:rsid w:val="00A71604"/>
    <w:rPr>
      <w:rFonts w:ascii="Arial" w:eastAsia="SimSun" w:hAnsi="Arial" w:cs="Times New Roman"/>
      <w:sz w:val="36"/>
      <w:szCs w:val="20"/>
      <w:lang w:val="en-GB"/>
    </w:rPr>
  </w:style>
  <w:style w:type="paragraph" w:styleId="ListParagraph">
    <w:name w:val="List Paragraph"/>
    <w:aliases w:val="- Bullets,목록 단락,リスト段落,?? ??,?????,????,Lista1,列出段落,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A7160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列表段落 Char,Paragrafo elenco Char"/>
    <w:link w:val="ListParagraph"/>
    <w:uiPriority w:val="34"/>
    <w:qFormat/>
    <w:locked/>
    <w:rsid w:val="00A71604"/>
    <w:rPr>
      <w:rFonts w:ascii="Calibri" w:eastAsia="Calibri" w:hAnsi="Calibri" w:cs="Times New Roman"/>
    </w:rPr>
  </w:style>
  <w:style w:type="paragraph" w:styleId="BalloonText">
    <w:name w:val="Balloon Text"/>
    <w:basedOn w:val="Normal"/>
    <w:link w:val="BalloonTextChar"/>
    <w:uiPriority w:val="99"/>
    <w:semiHidden/>
    <w:unhideWhenUsed/>
    <w:rsid w:val="00C078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883"/>
    <w:rPr>
      <w:rFonts w:ascii="Segoe UI" w:eastAsia="SimSu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package" Target="embeddings/Microsoft_Visio_Drawing4.vsdx"/><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package" Target="embeddings/Microsoft_Visio_Drawing5.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0D4EA-0402-4914-A938-E43F5E335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11</Pages>
  <Words>3658</Words>
  <Characters>20856</Characters>
  <Application>Microsoft Office Word</Application>
  <DocSecurity>0</DocSecurity>
  <Lines>173</Lines>
  <Paragraphs>48</Paragraphs>
  <ScaleCrop>false</ScaleCrop>
  <Company/>
  <LinksUpToDate>false</LinksUpToDate>
  <CharactersWithSpaces>24466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Xiao feng Wang</cp:lastModifiedBy>
  <cp:revision>125</cp:revision>
  <dcterms:created xsi:type="dcterms:W3CDTF">2021-08-04T21:04:00Z</dcterms:created>
  <dcterms:modified xsi:type="dcterms:W3CDTF">2021-08-06T16:52:00Z</dcterms:modified>
</cp:coreProperties>
</file>